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D4A537"/>
          <w:spacing w:val="30"/>
          <w:sz w:val="18"/>
          <w:szCs w:val="18"/>
        </w:rPr>
        <w:t xml:space="preserve">COMPANION TO THE IEDC BRIEFING DECK</w:t>
      </w:r>
    </w:p>
    <w:p>
      <w:pPr>
        <w:spacing w:after="80"/>
      </w:pPr>
      <w:r>
        <w:rPr>
          <w:rFonts w:ascii="Cambria" w:cs="Cambria" w:eastAsia="Cambria" w:hAnsi="Cambria"/>
          <w:b/>
          <w:bCs/>
          <w:color w:val="0E2A47"/>
          <w:sz w:val="48"/>
          <w:szCs w:val="48"/>
        </w:rPr>
        <w:t xml:space="preserve">What Indiana businesses are doing</w:t>
      </w:r>
    </w:p>
    <w:p>
      <w:pPr>
        <w:spacing w:after="280"/>
      </w:pPr>
      <w:r>
        <w:rPr>
          <w:rFonts w:ascii="Calibri" w:cs="Calibri" w:eastAsia="Calibri" w:hAnsi="Calibri"/>
          <w:i/>
          <w:iCs/>
          <w:color w:val="4A5568"/>
          <w:sz w:val="24"/>
          <w:szCs w:val="24"/>
        </w:rPr>
        <w:t xml:space="preserve">Industry composition inferred from 364,000 business names, with a focus on what out-of-state companies bring to Indiana</w:t>
      </w:r>
    </w:p>
    <w:p>
      <w:pPr>
        <w:pStyle w:val="Heading2"/>
        <w:spacing w:after="120" w:before="260"/>
      </w:pPr>
      <w:r>
        <w:rPr>
          <w:rFonts w:ascii="Cambria" w:cs="Cambria" w:eastAsia="Cambria" w:hAnsi="Cambria"/>
          <w:b/>
          <w:bCs/>
          <w:color w:val="0E2A47"/>
          <w:sz w:val="26"/>
          <w:szCs w:val="26"/>
        </w:rPr>
        <w:t xml:space="preserve">Methodology in one paragraph</w:t>
      </w:r>
    </w:p>
    <w:p>
      <w:pPr>
        <w:spacing w:after="140" w:line="300"/>
      </w:pPr>
      <w:r>
        <w:rPr>
          <w:rFonts w:ascii="Calibri" w:cs="Calibri" w:eastAsia="Calibri" w:hAnsi="Calibri"/>
          <w:sz w:val="22"/>
          <w:szCs w:val="22"/>
        </w:rPr>
        <w:t xml:space="preserve">The Secretary of State file contains no NAICS codes or sector tags, but business names themselves carry strong sectoral signal. We built a keyword classifier covering 25 sector categories — construction trades, healthcare, real estate, trucking, finance, tech, manufacturing, and so on — and applied it to the legal name of every unique business in the dataset. About 48% of names contain a clear sector keyword. Another 9% are catch-all "Holdings, LLC" or "X Services, Inc." names with no industry signal. The remaining ~43% are unclassified — typically personal-name LLCs ("Smith Family, LLC") or generic acronym names. Every percentage cited below is computed against the full 364K base unless explicitly noted as "of classified." The classification skews toward visible verticals like construction and real estate and away from sectors where naming conventions are generic (consulting, holdings).</w:t>
      </w:r>
    </w:p>
    <w:p>
      <w:pPr>
        <w:pStyle w:val="Heading1"/>
        <w:spacing w:after="160" w:before="360"/>
      </w:pPr>
      <w:r>
        <w:rPr>
          <w:rFonts w:ascii="Cambria" w:cs="Cambria" w:eastAsia="Cambria" w:hAnsi="Cambria"/>
          <w:b/>
          <w:bCs/>
          <w:color w:val="0E2A47"/>
          <w:sz w:val="32"/>
          <w:szCs w:val="32"/>
        </w:rPr>
        <w:t xml:space="preserve">What Indiana businesses do</w:t>
      </w:r>
    </w:p>
    <w:p>
      <w:pPr>
        <w:spacing w:after="140" w:line="300"/>
      </w:pPr>
      <w:r>
        <w:rPr>
          <w:rFonts w:ascii="Calibri" w:cs="Calibri" w:eastAsia="Calibri" w:hAnsi="Calibri"/>
          <w:sz w:val="22"/>
          <w:szCs w:val="22"/>
        </w:rPr>
        <w:t xml:space="preserve">The largest visible sector in Indiana is real estate. Nearly 39,000 unique entities — 10.7% of the base, and 22% of all classified names — are named for real-estate, rental, hotel, lodging, or property-development activity. This is more than construction, financial services, and healthcare combined.</w:t>
      </w:r>
    </w:p>
    <w:p>
      <w:pPr>
        <w:spacing w:after="140" w:line="300"/>
      </w:pPr>
      <w:r>
        <w:rPr>
          <w:rFonts w:ascii="Calibri" w:cs="Calibri" w:eastAsia="Calibri" w:hAnsi="Calibri"/>
          <w:sz w:val="22"/>
          <w:szCs w:val="22"/>
        </w:rPr>
        <w:t xml:space="preserve">Construction and the building trades are the second-largest visible vertical at 18,140 entities (5.0%). Financial services (insurance, lending, investment vehicles) are third at 17,355 (4.8%). Healthcare and medical services are fourth at 12,924 (3.6%) — a notable share given that hospital systems consolidate many individual practices under fewer LLC umbrellas.</w:t>
      </w:r>
    </w:p>
    <w:p>
      <w:pPr>
        <w:spacing w:after="140" w:line="300"/>
      </w:pPr>
      <w:r>
        <w:rPr>
          <w:rFonts w:ascii="Calibri" w:cs="Calibri" w:eastAsia="Calibri" w:hAnsi="Calibri"/>
          <w:sz w:val="22"/>
          <w:szCs w:val="22"/>
        </w:rPr>
        <w:t xml:space="preserve">Two sectors stand out as smaller than their economic footprint would suggest, and both are name-convention artifacts:</w:t>
      </w:r>
    </w:p>
    <w:p>
      <w:pPr>
        <w:spacing w:after="140" w:line="300"/>
      </w:pPr>
      <w:r>
        <w:rPr>
          <w:rFonts w:ascii="Calibri" w:cs="Calibri" w:eastAsia="Calibri" w:hAnsi="Calibri"/>
          <w:sz w:val="22"/>
          <w:szCs w:val="22"/>
        </w:rPr>
        <w:t xml:space="preserve">Tech &amp; software (1.5%) </w:t>
      </w:r>
      <w:r>
        <w:rPr>
          <w:rFonts w:ascii="Calibri" w:cs="Calibri" w:eastAsia="Calibri" w:hAnsi="Calibri"/>
          <w:sz w:val="22"/>
          <w:szCs w:val="22"/>
        </w:rPr>
        <w:t xml:space="preserve">is understated because tech LLCs often use abstract or person-named brands ("Lessonly", "Salesforce-style" names) that don't contain "tech," "data," or "software."</w:t>
      </w:r>
    </w:p>
    <w:p>
      <w:pPr>
        <w:spacing w:after="140" w:line="300"/>
      </w:pPr>
      <w:r>
        <w:rPr>
          <w:rFonts w:ascii="Calibri" w:cs="Calibri" w:eastAsia="Calibri" w:hAnsi="Calibri"/>
          <w:sz w:val="22"/>
          <w:szCs w:val="22"/>
        </w:rPr>
        <w:t xml:space="preserve">Manufacturing &amp; industrial (1.3%) </w:t>
      </w:r>
      <w:r>
        <w:rPr>
          <w:rFonts w:ascii="Calibri" w:cs="Calibri" w:eastAsia="Calibri" w:hAnsi="Calibri"/>
          <w:sz w:val="22"/>
          <w:szCs w:val="22"/>
        </w:rPr>
        <w:t xml:space="preserve">is understated because most named manufacturers use proper-noun company names ("Eli Lilly", "Steel Dynamics") rather than including "manufacturing" or "industrial." The figures should be read as the floor of a much larger real share.</w:t>
      </w:r>
    </w:p>
    <w:p>
      <w:pPr>
        <w:pStyle w:val="Heading3"/>
        <w:spacing w:after="80" w:before="200"/>
      </w:pPr>
      <w:r>
        <w:rPr>
          <w:rFonts w:ascii="Cambria" w:cs="Cambria" w:eastAsia="Cambria" w:hAnsi="Cambria"/>
          <w:b/>
          <w:bCs/>
          <w:color w:val="0E2A47"/>
          <w:sz w:val="22"/>
          <w:szCs w:val="22"/>
        </w:rPr>
        <w:t xml:space="preserve">Statewide industry mix — top 15 visible sectors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40"/>
        <w:gridCol w:w="2520"/>
        <w:gridCol w:w="1800"/>
      </w:tblGrid>
      <w:tr>
        <w:tc>
          <w:tcPr>
            <w:tcW w:type="dxa" w:w="5040"/>
            <w:tcBorders>
              <w:top w:val="single" w:color="D6DBE3" w:sz="4"/>
              <w:left w:val="single" w:color="D6DBE3" w:sz="4"/>
              <w:bottom w:val="single" w:color="D6DBE3" w:sz="4"/>
              <w:right w:val="single" w:color="D6DBE3" w:sz="4"/>
            </w:tcBorders>
            <w:shd w:fill="0E2A47"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Sector</w:t>
            </w:r>
          </w:p>
        </w:tc>
        <w:tc>
          <w:tcPr>
            <w:tcW w:type="dxa" w:w="2520"/>
            <w:tcBorders>
              <w:top w:val="single" w:color="D6DBE3" w:sz="4"/>
              <w:left w:val="single" w:color="D6DBE3" w:sz="4"/>
              <w:bottom w:val="single" w:color="D6DBE3" w:sz="4"/>
              <w:right w:val="single" w:color="D6DBE3" w:sz="4"/>
            </w:tcBorders>
            <w:shd w:fill="0E2A47" w:val="clear"/>
            <w:tcMar>
              <w:top w:type="dxa" w:w="80"/>
              <w:left w:type="dxa" w:w="120"/>
              <w:bottom w:type="dxa" w:w="80"/>
              <w:right w:type="dxa" w:w="120"/>
            </w:tcMar>
          </w:tcPr>
          <w:p>
            <w:pPr>
              <w:jc w:val="right"/>
            </w:pPr>
            <w:r>
              <w:rPr>
                <w:rFonts w:ascii="Calibri" w:cs="Calibri" w:eastAsia="Calibri" w:hAnsi="Calibri"/>
                <w:b/>
                <w:bCs/>
                <w:color w:val="FFFFFF"/>
                <w:sz w:val="20"/>
                <w:szCs w:val="20"/>
              </w:rPr>
              <w:t xml:space="preserve">Unique businesses</w:t>
            </w:r>
          </w:p>
        </w:tc>
        <w:tc>
          <w:tcPr>
            <w:tcW w:type="dxa" w:w="1800"/>
            <w:tcBorders>
              <w:top w:val="single" w:color="D6DBE3" w:sz="4"/>
              <w:left w:val="single" w:color="D6DBE3" w:sz="4"/>
              <w:bottom w:val="single" w:color="D6DBE3" w:sz="4"/>
              <w:right w:val="single" w:color="D6DBE3" w:sz="4"/>
            </w:tcBorders>
            <w:shd w:fill="0E2A47" w:val="clear"/>
            <w:tcMar>
              <w:top w:type="dxa" w:w="80"/>
              <w:left w:type="dxa" w:w="120"/>
              <w:bottom w:type="dxa" w:w="80"/>
              <w:right w:type="dxa" w:w="120"/>
            </w:tcMar>
          </w:tcPr>
          <w:p>
            <w:pPr>
              <w:jc w:val="right"/>
            </w:pPr>
            <w:r>
              <w:rPr>
                <w:rFonts w:ascii="Calibri" w:cs="Calibri" w:eastAsia="Calibri" w:hAnsi="Calibri"/>
                <w:b/>
                <w:bCs/>
                <w:color w:val="FFFFFF"/>
                <w:sz w:val="20"/>
                <w:szCs w:val="20"/>
              </w:rPr>
              <w:t xml:space="preserve">% of total</w:t>
            </w:r>
          </w:p>
        </w:tc>
      </w:tr>
      <w:tr>
        <w:tc>
          <w:tcPr>
            <w:tcW w:type="dxa" w:w="504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left"/>
            </w:pPr>
            <w:r>
              <w:rPr>
                <w:rFonts w:ascii="Calibri" w:cs="Calibri" w:eastAsia="Calibri" w:hAnsi="Calibri"/>
                <w:color w:val="1A1A1A"/>
                <w:sz w:val="20"/>
                <w:szCs w:val="20"/>
              </w:rPr>
              <w:t xml:space="preserve">Real estate &amp; rentals</w:t>
            </w:r>
          </w:p>
        </w:tc>
        <w:tc>
          <w:tcPr>
            <w:tcW w:type="dxa" w:w="252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38,977</w:t>
            </w:r>
          </w:p>
        </w:tc>
        <w:tc>
          <w:tcPr>
            <w:tcW w:type="dxa" w:w="18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10.7%</w:t>
            </w:r>
          </w:p>
        </w:tc>
      </w:tr>
      <w:tr>
        <w:tc>
          <w:tcPr>
            <w:tcW w:type="dxa" w:w="504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left"/>
            </w:pPr>
            <w:r>
              <w:rPr>
                <w:rFonts w:ascii="Calibri" w:cs="Calibri" w:eastAsia="Calibri" w:hAnsi="Calibri"/>
                <w:color w:val="1A1A1A"/>
                <w:sz w:val="20"/>
                <w:szCs w:val="20"/>
              </w:rPr>
              <w:t xml:space="preserve">Holdings &amp; investment vehicles</w:t>
            </w:r>
          </w:p>
        </w:tc>
        <w:tc>
          <w:tcPr>
            <w:tcW w:type="dxa" w:w="252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22,655</w:t>
            </w:r>
          </w:p>
        </w:tc>
        <w:tc>
          <w:tcPr>
            <w:tcW w:type="dxa" w:w="18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6.2%</w:t>
            </w:r>
          </w:p>
        </w:tc>
      </w:tr>
      <w:tr>
        <w:tc>
          <w:tcPr>
            <w:tcW w:type="dxa" w:w="504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left"/>
            </w:pPr>
            <w:r>
              <w:rPr>
                <w:rFonts w:ascii="Calibri" w:cs="Calibri" w:eastAsia="Calibri" w:hAnsi="Calibri"/>
                <w:color w:val="1A1A1A"/>
                <w:sz w:val="20"/>
                <w:szCs w:val="20"/>
              </w:rPr>
              <w:t xml:space="preserve">Construction &amp; trades</w:t>
            </w:r>
          </w:p>
        </w:tc>
        <w:tc>
          <w:tcPr>
            <w:tcW w:type="dxa" w:w="252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18,140</w:t>
            </w:r>
          </w:p>
        </w:tc>
        <w:tc>
          <w:tcPr>
            <w:tcW w:type="dxa" w:w="18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5.0%</w:t>
            </w:r>
          </w:p>
        </w:tc>
      </w:tr>
      <w:tr>
        <w:tc>
          <w:tcPr>
            <w:tcW w:type="dxa" w:w="504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left"/>
            </w:pPr>
            <w:r>
              <w:rPr>
                <w:rFonts w:ascii="Calibri" w:cs="Calibri" w:eastAsia="Calibri" w:hAnsi="Calibri"/>
                <w:color w:val="1A1A1A"/>
                <w:sz w:val="20"/>
                <w:szCs w:val="20"/>
              </w:rPr>
              <w:t xml:space="preserve">Financial services</w:t>
            </w:r>
          </w:p>
        </w:tc>
        <w:tc>
          <w:tcPr>
            <w:tcW w:type="dxa" w:w="252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17,355</w:t>
            </w:r>
          </w:p>
        </w:tc>
        <w:tc>
          <w:tcPr>
            <w:tcW w:type="dxa" w:w="18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4.8%</w:t>
            </w:r>
          </w:p>
        </w:tc>
      </w:tr>
      <w:tr>
        <w:tc>
          <w:tcPr>
            <w:tcW w:type="dxa" w:w="504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left"/>
            </w:pPr>
            <w:r>
              <w:rPr>
                <w:rFonts w:ascii="Calibri" w:cs="Calibri" w:eastAsia="Calibri" w:hAnsi="Calibri"/>
                <w:color w:val="1A1A1A"/>
                <w:sz w:val="20"/>
                <w:szCs w:val="20"/>
              </w:rPr>
              <w:t xml:space="preserve">Healthcare &amp; medical</w:t>
            </w:r>
          </w:p>
        </w:tc>
        <w:tc>
          <w:tcPr>
            <w:tcW w:type="dxa" w:w="252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12,924</w:t>
            </w:r>
          </w:p>
        </w:tc>
        <w:tc>
          <w:tcPr>
            <w:tcW w:type="dxa" w:w="18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3.6%</w:t>
            </w:r>
          </w:p>
        </w:tc>
      </w:tr>
      <w:tr>
        <w:tc>
          <w:tcPr>
            <w:tcW w:type="dxa" w:w="504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left"/>
            </w:pPr>
            <w:r>
              <w:rPr>
                <w:rFonts w:ascii="Calibri" w:cs="Calibri" w:eastAsia="Calibri" w:hAnsi="Calibri"/>
                <w:color w:val="1A1A1A"/>
                <w:sz w:val="20"/>
                <w:szCs w:val="20"/>
              </w:rPr>
              <w:t xml:space="preserve">Agriculture &amp; farming</w:t>
            </w:r>
          </w:p>
        </w:tc>
        <w:tc>
          <w:tcPr>
            <w:tcW w:type="dxa" w:w="252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10,363</w:t>
            </w:r>
          </w:p>
        </w:tc>
        <w:tc>
          <w:tcPr>
            <w:tcW w:type="dxa" w:w="18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2.8%</w:t>
            </w:r>
          </w:p>
        </w:tc>
      </w:tr>
      <w:tr>
        <w:tc>
          <w:tcPr>
            <w:tcW w:type="dxa" w:w="504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left"/>
            </w:pPr>
            <w:r>
              <w:rPr>
                <w:rFonts w:ascii="Calibri" w:cs="Calibri" w:eastAsia="Calibri" w:hAnsi="Calibri"/>
                <w:color w:val="1A1A1A"/>
                <w:sz w:val="20"/>
                <w:szCs w:val="20"/>
              </w:rPr>
              <w:t xml:space="preserve">Trucking &amp; logistics</w:t>
            </w:r>
          </w:p>
        </w:tc>
        <w:tc>
          <w:tcPr>
            <w:tcW w:type="dxa" w:w="252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9,673</w:t>
            </w:r>
          </w:p>
        </w:tc>
        <w:tc>
          <w:tcPr>
            <w:tcW w:type="dxa" w:w="18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2.7%</w:t>
            </w:r>
          </w:p>
        </w:tc>
      </w:tr>
      <w:tr>
        <w:tc>
          <w:tcPr>
            <w:tcW w:type="dxa" w:w="504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left"/>
            </w:pPr>
            <w:r>
              <w:rPr>
                <w:rFonts w:ascii="Calibri" w:cs="Calibri" w:eastAsia="Calibri" w:hAnsi="Calibri"/>
                <w:color w:val="1A1A1A"/>
                <w:sz w:val="20"/>
                <w:szCs w:val="20"/>
              </w:rPr>
              <w:t xml:space="preserve">Religious &amp; cemetery</w:t>
            </w:r>
          </w:p>
        </w:tc>
        <w:tc>
          <w:tcPr>
            <w:tcW w:type="dxa" w:w="252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7,372</w:t>
            </w:r>
          </w:p>
        </w:tc>
        <w:tc>
          <w:tcPr>
            <w:tcW w:type="dxa" w:w="18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2.0%</w:t>
            </w:r>
          </w:p>
        </w:tc>
      </w:tr>
      <w:tr>
        <w:tc>
          <w:tcPr>
            <w:tcW w:type="dxa" w:w="504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left"/>
            </w:pPr>
            <w:r>
              <w:rPr>
                <w:rFonts w:ascii="Calibri" w:cs="Calibri" w:eastAsia="Calibri" w:hAnsi="Calibri"/>
                <w:color w:val="1A1A1A"/>
                <w:sz w:val="20"/>
                <w:szCs w:val="20"/>
              </w:rPr>
              <w:t xml:space="preserve">Marketing &amp; media</w:t>
            </w:r>
          </w:p>
        </w:tc>
        <w:tc>
          <w:tcPr>
            <w:tcW w:type="dxa" w:w="252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7,061</w:t>
            </w:r>
          </w:p>
        </w:tc>
        <w:tc>
          <w:tcPr>
            <w:tcW w:type="dxa" w:w="18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1.9%</w:t>
            </w:r>
          </w:p>
        </w:tc>
      </w:tr>
      <w:tr>
        <w:tc>
          <w:tcPr>
            <w:tcW w:type="dxa" w:w="504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left"/>
            </w:pPr>
            <w:r>
              <w:rPr>
                <w:rFonts w:ascii="Calibri" w:cs="Calibri" w:eastAsia="Calibri" w:hAnsi="Calibri"/>
                <w:color w:val="1A1A1A"/>
                <w:sz w:val="20"/>
                <w:szCs w:val="20"/>
              </w:rPr>
              <w:t xml:space="preserve">Clubs &amp; associations</w:t>
            </w:r>
          </w:p>
        </w:tc>
        <w:tc>
          <w:tcPr>
            <w:tcW w:type="dxa" w:w="252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6,794</w:t>
            </w:r>
          </w:p>
        </w:tc>
        <w:tc>
          <w:tcPr>
            <w:tcW w:type="dxa" w:w="18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1.9%</w:t>
            </w:r>
          </w:p>
        </w:tc>
      </w:tr>
      <w:tr>
        <w:tc>
          <w:tcPr>
            <w:tcW w:type="dxa" w:w="504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left"/>
            </w:pPr>
            <w:r>
              <w:rPr>
                <w:rFonts w:ascii="Calibri" w:cs="Calibri" w:eastAsia="Calibri" w:hAnsi="Calibri"/>
                <w:color w:val="1A1A1A"/>
                <w:sz w:val="20"/>
                <w:szCs w:val="20"/>
              </w:rPr>
              <w:t xml:space="preserve">Tech &amp; software</w:t>
            </w:r>
          </w:p>
        </w:tc>
        <w:tc>
          <w:tcPr>
            <w:tcW w:type="dxa" w:w="252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5,528</w:t>
            </w:r>
          </w:p>
        </w:tc>
        <w:tc>
          <w:tcPr>
            <w:tcW w:type="dxa" w:w="18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1.5%</w:t>
            </w:r>
          </w:p>
        </w:tc>
      </w:tr>
      <w:tr>
        <w:tc>
          <w:tcPr>
            <w:tcW w:type="dxa" w:w="504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left"/>
            </w:pPr>
            <w:r>
              <w:rPr>
                <w:rFonts w:ascii="Calibri" w:cs="Calibri" w:eastAsia="Calibri" w:hAnsi="Calibri"/>
                <w:color w:val="1A1A1A"/>
                <w:sz w:val="20"/>
                <w:szCs w:val="20"/>
              </w:rPr>
              <w:t xml:space="preserve">Manufacturing &amp; industrial</w:t>
            </w:r>
          </w:p>
        </w:tc>
        <w:tc>
          <w:tcPr>
            <w:tcW w:type="dxa" w:w="252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4,686</w:t>
            </w:r>
          </w:p>
        </w:tc>
        <w:tc>
          <w:tcPr>
            <w:tcW w:type="dxa" w:w="18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1.3%</w:t>
            </w:r>
          </w:p>
        </w:tc>
      </w:tr>
      <w:tr>
        <w:tc>
          <w:tcPr>
            <w:tcW w:type="dxa" w:w="504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left"/>
            </w:pPr>
            <w:r>
              <w:rPr>
                <w:rFonts w:ascii="Calibri" w:cs="Calibri" w:eastAsia="Calibri" w:hAnsi="Calibri"/>
                <w:color w:val="1A1A1A"/>
                <w:sz w:val="20"/>
                <w:szCs w:val="20"/>
              </w:rPr>
              <w:t xml:space="preserve">Consulting</w:t>
            </w:r>
          </w:p>
        </w:tc>
        <w:tc>
          <w:tcPr>
            <w:tcW w:type="dxa" w:w="252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4,523</w:t>
            </w:r>
          </w:p>
        </w:tc>
        <w:tc>
          <w:tcPr>
            <w:tcW w:type="dxa" w:w="18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1.2%</w:t>
            </w:r>
          </w:p>
        </w:tc>
      </w:tr>
      <w:tr>
        <w:tc>
          <w:tcPr>
            <w:tcW w:type="dxa" w:w="504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left"/>
            </w:pPr>
            <w:r>
              <w:rPr>
                <w:rFonts w:ascii="Calibri" w:cs="Calibri" w:eastAsia="Calibri" w:hAnsi="Calibri"/>
                <w:color w:val="1A1A1A"/>
                <w:sz w:val="20"/>
                <w:szCs w:val="20"/>
              </w:rPr>
              <w:t xml:space="preserve">Auto sales &amp; repair</w:t>
            </w:r>
          </w:p>
        </w:tc>
        <w:tc>
          <w:tcPr>
            <w:tcW w:type="dxa" w:w="252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4,312</w:t>
            </w:r>
          </w:p>
        </w:tc>
        <w:tc>
          <w:tcPr>
            <w:tcW w:type="dxa" w:w="18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1.2%</w:t>
            </w:r>
          </w:p>
        </w:tc>
      </w:tr>
      <w:tr>
        <w:tc>
          <w:tcPr>
            <w:tcW w:type="dxa" w:w="504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left"/>
            </w:pPr>
            <w:r>
              <w:rPr>
                <w:rFonts w:ascii="Calibri" w:cs="Calibri" w:eastAsia="Calibri" w:hAnsi="Calibri"/>
                <w:color w:val="1A1A1A"/>
                <w:sz w:val="20"/>
                <w:szCs w:val="20"/>
              </w:rPr>
              <w:t xml:space="preserve">Retail &amp; wholesale</w:t>
            </w:r>
          </w:p>
        </w:tc>
        <w:tc>
          <w:tcPr>
            <w:tcW w:type="dxa" w:w="252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4,186</w:t>
            </w:r>
          </w:p>
        </w:tc>
        <w:tc>
          <w:tcPr>
            <w:tcW w:type="dxa" w:w="18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1.1%</w:t>
            </w:r>
          </w:p>
        </w:tc>
      </w:tr>
    </w:tbl>
    <w:p>
      <w:pPr>
        <w:spacing w:after="140" w:line="300"/>
      </w:pPr>
      <w:r>
        <w:rPr>
          <w:rFonts w:ascii="Calibri" w:cs="Calibri" w:eastAsia="Calibri" w:hAnsi="Calibri"/>
          <w:sz w:val="22"/>
          <w:szCs w:val="22"/>
        </w:rPr>
        <w:t xml:space="preserve"/>
      </w:r>
    </w:p>
    <w:p>
      <w:pPr>
        <w:pStyle w:val="Heading1"/>
        <w:spacing w:after="160" w:before="360"/>
      </w:pPr>
      <w:r>
        <w:rPr>
          <w:rFonts w:ascii="Cambria" w:cs="Cambria" w:eastAsia="Cambria" w:hAnsi="Cambria"/>
          <w:b/>
          <w:bCs/>
          <w:color w:val="0E2A47"/>
          <w:sz w:val="32"/>
          <w:szCs w:val="32"/>
        </w:rPr>
        <w:t xml:space="preserve">Industry fingerprints of Indiana counties</w:t>
      </w:r>
    </w:p>
    <w:p>
      <w:pPr>
        <w:spacing w:after="140" w:line="300"/>
      </w:pPr>
      <w:r>
        <w:rPr>
          <w:rFonts w:ascii="Calibri" w:cs="Calibri" w:eastAsia="Calibri" w:hAnsi="Calibri"/>
          <w:sz w:val="22"/>
          <w:szCs w:val="22"/>
        </w:rPr>
        <w:t xml:space="preserve">Each of Indiana's top counties has a distinctive industry signature — where a particular sector represents a much higher share of the county's business base than its share of the state-wide base. We measure this with an "over-index" ratio: 2.0× means the sector is twice as concentrated locally as state-wide. Anything above 1.4× is a real cluster.</w:t>
      </w:r>
    </w:p>
    <w:p>
      <w:pPr>
        <w:pStyle w:val="Heading3"/>
        <w:spacing w:after="80" w:before="200"/>
      </w:pPr>
      <w:r>
        <w:rPr>
          <w:rFonts w:ascii="Cambria" w:cs="Cambria" w:eastAsia="Cambria" w:hAnsi="Cambria"/>
          <w:b/>
          <w:bCs/>
          <w:color w:val="0E2A47"/>
          <w:sz w:val="22"/>
          <w:szCs w:val="22"/>
        </w:rPr>
        <w:t xml:space="preserve">Marion County — capital and service hub</w:t>
      </w:r>
    </w:p>
    <w:p>
      <w:pPr>
        <w:spacing w:after="140" w:line="300"/>
      </w:pPr>
      <w:r>
        <w:rPr>
          <w:rFonts w:ascii="Calibri" w:cs="Calibri" w:eastAsia="Calibri" w:hAnsi="Calibri"/>
          <w:sz w:val="22"/>
          <w:szCs w:val="22"/>
        </w:rPr>
        <w:t xml:space="preserve">Marion's strongest concentrations are in cleaning &amp; janitorial (1.81×), childcare (1.30×), foundations &amp; nonprofits (1.26×), education (1.23×), legal &amp; accounting (1.19×), and healthcare (1.19×). This is the state-capital-and-anchor-city pattern: government, courts, hospitals, universities, and the residential support services that come with a dense workforce. Marion alone hosts 23% of all named healthcare entities, 24% of education, and 18% of tech filings.</w:t>
      </w:r>
    </w:p>
    <w:p>
      <w:pPr>
        <w:pStyle w:val="Heading3"/>
        <w:spacing w:after="80" w:before="200"/>
      </w:pPr>
      <w:r>
        <w:rPr>
          <w:rFonts w:ascii="Cambria" w:cs="Cambria" w:eastAsia="Cambria" w:hAnsi="Cambria"/>
          <w:b/>
          <w:bCs/>
          <w:color w:val="0E2A47"/>
          <w:sz w:val="22"/>
          <w:szCs w:val="22"/>
        </w:rPr>
        <w:t xml:space="preserve">Hamilton County — Indiana's professional-services hub</w:t>
      </w:r>
    </w:p>
    <w:p>
      <w:pPr>
        <w:spacing w:after="140" w:line="300"/>
      </w:pPr>
      <w:r>
        <w:rPr>
          <w:rFonts w:ascii="Calibri" w:cs="Calibri" w:eastAsia="Calibri" w:hAnsi="Calibri"/>
          <w:sz w:val="22"/>
          <w:szCs w:val="22"/>
        </w:rPr>
        <w:t xml:space="preserve">Hamilton has the most distinctive industry profile in the state: consulting (1.96×), financial services (1.63×), tech &amp; software (1.55×), and marketing &amp; media (1.40×) all over-index by 40% or more. This is white-collar, high-wage, high-revenue-per-employee activity. The Carmel-Fishers corridor is, quantitatively, Indiana's knowledge-economy center — and the only large IN county where consulting and tech together rival the share of construction.</w:t>
      </w:r>
    </w:p>
    <w:p>
      <w:pPr>
        <w:pStyle w:val="Heading3"/>
        <w:spacing w:after="80" w:before="200"/>
      </w:pPr>
      <w:r>
        <w:rPr>
          <w:rFonts w:ascii="Cambria" w:cs="Cambria" w:eastAsia="Cambria" w:hAnsi="Cambria"/>
          <w:b/>
          <w:bCs/>
          <w:color w:val="0E2A47"/>
          <w:sz w:val="22"/>
          <w:szCs w:val="22"/>
        </w:rPr>
        <w:t xml:space="preserve">Allen County — the insurance capital</w:t>
      </w:r>
    </w:p>
    <w:p>
      <w:pPr>
        <w:spacing w:after="140" w:line="300"/>
      </w:pPr>
      <w:r>
        <w:rPr>
          <w:rFonts w:ascii="Calibri" w:cs="Calibri" w:eastAsia="Calibri" w:hAnsi="Calibri"/>
          <w:sz w:val="22"/>
          <w:szCs w:val="22"/>
        </w:rPr>
        <w:t xml:space="preserve">Fort Wayne's home county over-indexes on financial services (1.30×), engineering &amp; architecture (1.19×), tech (1.19×), and marketing (1.17×). Allen alone holds 11% of all named Indiana financial-services LLCs — a Lincoln-Financial-Hub-and-friends effect. The engineering over-index reflects the city's historical defense, aerospace, and infrastructure-design industries.</w:t>
      </w:r>
    </w:p>
    <w:p>
      <w:pPr>
        <w:pStyle w:val="Heading3"/>
        <w:spacing w:after="80" w:before="200"/>
      </w:pPr>
      <w:r>
        <w:rPr>
          <w:rFonts w:ascii="Cambria" w:cs="Cambria" w:eastAsia="Cambria" w:hAnsi="Cambria"/>
          <w:b/>
          <w:bCs/>
          <w:color w:val="0E2A47"/>
          <w:sz w:val="22"/>
          <w:szCs w:val="22"/>
        </w:rPr>
        <w:t xml:space="preserve">Lake County — northwest logistics and trades</w:t>
      </w:r>
    </w:p>
    <w:p>
      <w:pPr>
        <w:spacing w:after="140" w:line="300"/>
      </w:pPr>
      <w:r>
        <w:rPr>
          <w:rFonts w:ascii="Calibri" w:cs="Calibri" w:eastAsia="Calibri" w:hAnsi="Calibri"/>
          <w:sz w:val="22"/>
          <w:szCs w:val="22"/>
        </w:rPr>
        <w:t xml:space="preserve">Lake (Gary, Hammond, Merrillville) over-indexes on auto sales &amp; repair (1.77×), trucking &amp; logistics (1.57×), beauty &amp; personal care (1.42×), and restaurants (1.24×). This is a working-class Chicago-adjacent economy where transportation and consumer services are visibly named. Lake holds 11% of all Indiana-domiciled trucking businesses.</w:t>
      </w:r>
    </w:p>
    <w:p>
      <w:pPr>
        <w:pStyle w:val="Heading3"/>
        <w:spacing w:after="80" w:before="200"/>
      </w:pPr>
      <w:r>
        <w:rPr>
          <w:rFonts w:ascii="Cambria" w:cs="Cambria" w:eastAsia="Cambria" w:hAnsi="Cambria"/>
          <w:b/>
          <w:bCs/>
          <w:color w:val="0E2A47"/>
          <w:sz w:val="22"/>
          <w:szCs w:val="22"/>
        </w:rPr>
        <w:t xml:space="preserve">Elkhart County — RV and manufacturing</w:t>
      </w:r>
    </w:p>
    <w:p>
      <w:pPr>
        <w:spacing w:after="140" w:line="300"/>
      </w:pPr>
      <w:r>
        <w:rPr>
          <w:rFonts w:ascii="Calibri" w:cs="Calibri" w:eastAsia="Calibri" w:hAnsi="Calibri"/>
          <w:sz w:val="22"/>
          <w:szCs w:val="22"/>
        </w:rPr>
        <w:t xml:space="preserve">Elkhart over-indexes on manufacturing &amp; industrial at 2.47× — by far the highest manufacturing concentration of any large county. This is the RV and modular-housing manufacturing capital of the United States. Retail/wholesale (1.39×) and auto sales (1.32×) follow naturally from a manufacturing base.</w:t>
      </w:r>
    </w:p>
    <w:p>
      <w:pPr>
        <w:pStyle w:val="Heading3"/>
        <w:spacing w:after="80" w:before="200"/>
      </w:pPr>
      <w:r>
        <w:rPr>
          <w:rFonts w:ascii="Cambria" w:cs="Cambria" w:eastAsia="Cambria" w:hAnsi="Cambria"/>
          <w:b/>
          <w:bCs/>
          <w:color w:val="0E2A47"/>
          <w:sz w:val="22"/>
          <w:szCs w:val="22"/>
        </w:rPr>
        <w:t xml:space="preserve">Johnson and Hendricks counties — the I-65/I-70 logistics ring</w:t>
      </w:r>
    </w:p>
    <w:p>
      <w:pPr>
        <w:spacing w:after="140" w:line="300"/>
      </w:pPr>
      <w:r>
        <w:rPr>
          <w:rFonts w:ascii="Calibri" w:cs="Calibri" w:eastAsia="Calibri" w:hAnsi="Calibri"/>
          <w:sz w:val="22"/>
          <w:szCs w:val="22"/>
        </w:rPr>
        <w:t xml:space="preserve">Johnson County over-indexes on trucking &amp; logistics at 2.46× — a striking 7.1% of its business base. Hendricks County is similar at 1.77×. Both are first-ring Indianapolis suburbs at major Interstate intersections, and both are dense with named freight-forwarding, last-mile-delivery, and warehousing LLCs. Together with Lake County, they form the logistics spine of Indiana's named freight economy.</w:t>
      </w:r>
    </w:p>
    <w:p>
      <w:pPr>
        <w:pStyle w:val="Heading3"/>
        <w:spacing w:after="80" w:before="200"/>
      </w:pPr>
      <w:r>
        <w:rPr>
          <w:rFonts w:ascii="Cambria" w:cs="Cambria" w:eastAsia="Cambria" w:hAnsi="Cambria"/>
          <w:b/>
          <w:bCs/>
          <w:color w:val="0E2A47"/>
          <w:sz w:val="22"/>
          <w:szCs w:val="22"/>
        </w:rPr>
        <w:t xml:space="preserve">Vanderburgh County — Ohio River energy</w:t>
      </w:r>
    </w:p>
    <w:p>
      <w:pPr>
        <w:spacing w:after="140" w:line="300"/>
      </w:pPr>
      <w:r>
        <w:rPr>
          <w:rFonts w:ascii="Calibri" w:cs="Calibri" w:eastAsia="Calibri" w:hAnsi="Calibri"/>
          <w:sz w:val="22"/>
          <w:szCs w:val="22"/>
        </w:rPr>
        <w:t xml:space="preserve">Evansville's home county over-indexes on energy &amp; utilities at 2.47× — by far the highest energy concentration in the state, reflecting the Ohio River industrial corridor (coal, natural gas, riverine logistics). Financial services (1.57×) and real estate (1.24×) follow.</w:t>
      </w:r>
    </w:p>
    <w:p>
      <w:pPr>
        <w:pStyle w:val="Heading3"/>
        <w:spacing w:after="80" w:before="200"/>
      </w:pPr>
      <w:r>
        <w:rPr>
          <w:rFonts w:ascii="Cambria" w:cs="Cambria" w:eastAsia="Cambria" w:hAnsi="Cambria"/>
          <w:b/>
          <w:bCs/>
          <w:color w:val="0E2A47"/>
          <w:sz w:val="22"/>
          <w:szCs w:val="22"/>
        </w:rPr>
        <w:t xml:space="preserve">Smaller counties with distinct signatures</w:t>
      </w:r>
    </w:p>
    <w:p>
      <w:pPr>
        <w:spacing w:after="140" w:line="300"/>
      </w:pPr>
      <w:r>
        <w:rPr>
          <w:rFonts w:ascii="Calibri" w:cs="Calibri" w:eastAsia="Calibri" w:hAnsi="Calibri"/>
          <w:sz w:val="22"/>
          <w:szCs w:val="22"/>
        </w:rPr>
        <w:t xml:space="preserve">Porter County: </w:t>
      </w:r>
      <w:r>
        <w:rPr>
          <w:rFonts w:ascii="Calibri" w:cs="Calibri" w:eastAsia="Calibri" w:hAnsi="Calibri"/>
          <w:sz w:val="22"/>
          <w:szCs w:val="22"/>
        </w:rPr>
        <w:t xml:space="preserve">tech &amp; software (1.47×) — likely Valparaiso-area spillover and proximity to Chicago tech sector.
</w:t>
      </w:r>
    </w:p>
    <w:p>
      <w:pPr>
        <w:spacing w:after="140" w:line="300"/>
      </w:pPr>
      <w:r>
        <w:rPr>
          <w:rFonts w:ascii="Calibri" w:cs="Calibri" w:eastAsia="Calibri" w:hAnsi="Calibri"/>
          <w:sz w:val="22"/>
          <w:szCs w:val="22"/>
        </w:rPr>
        <w:t xml:space="preserve"/>
      </w:r>
    </w:p>
    <w:p>
      <w:pPr>
        <w:spacing w:after="140" w:line="300"/>
      </w:pPr>
      <w:r>
        <w:rPr>
          <w:rFonts w:ascii="Calibri" w:cs="Calibri" w:eastAsia="Calibri" w:hAnsi="Calibri"/>
          <w:sz w:val="22"/>
          <w:szCs w:val="22"/>
        </w:rPr>
        <w:t xml:space="preserve">St. Joseph County: </w:t>
      </w:r>
      <w:r>
        <w:rPr>
          <w:rFonts w:ascii="Calibri" w:cs="Calibri" w:eastAsia="Calibri" w:hAnsi="Calibri"/>
          <w:sz w:val="22"/>
          <w:szCs w:val="22"/>
        </w:rPr>
        <w:t xml:space="preserve">childcare (1.71×), manufacturing (1.30×) — South Bend/Mishawaka demographics combined with regional manufacturing.
</w:t>
      </w:r>
    </w:p>
    <w:p>
      <w:pPr>
        <w:spacing w:after="140" w:line="300"/>
      </w:pPr>
      <w:r>
        <w:rPr>
          <w:rFonts w:ascii="Calibri" w:cs="Calibri" w:eastAsia="Calibri" w:hAnsi="Calibri"/>
          <w:sz w:val="22"/>
          <w:szCs w:val="22"/>
        </w:rPr>
        <w:t xml:space="preserve"/>
      </w:r>
    </w:p>
    <w:p>
      <w:pPr>
        <w:pStyle w:val="Heading1"/>
        <w:spacing w:after="160" w:before="360"/>
      </w:pPr>
      <w:r>
        <w:rPr>
          <w:rFonts w:ascii="Cambria" w:cs="Cambria" w:eastAsia="Cambria" w:hAnsi="Cambria"/>
          <w:b/>
          <w:bCs/>
          <w:color w:val="0E2A47"/>
          <w:sz w:val="32"/>
          <w:szCs w:val="32"/>
        </w:rPr>
        <w:t xml:space="preserve">What out-of-state companies bring</w:t>
      </w:r>
    </w:p>
    <w:p>
      <w:pPr>
        <w:spacing w:after="140" w:line="300"/>
      </w:pPr>
      <w:r>
        <w:rPr>
          <w:rFonts w:ascii="Calibri" w:cs="Calibri" w:eastAsia="Calibri" w:hAnsi="Calibri"/>
          <w:sz w:val="22"/>
          <w:szCs w:val="22"/>
        </w:rPr>
        <w:t xml:space="preserve">The 51,000 foreign LLCs and corporations in the file are not a single phenomenon — they have very different sectoral mixes depending on where they come from. We computed the sector composition of foreign entities whose principal office is in each of the top 8 sending states. The patterns are clear and policy-relevant.</w:t>
      </w:r>
    </w:p>
    <w:p>
      <w:pPr>
        <w:pStyle w:val="Heading3"/>
        <w:spacing w:after="80" w:before="200"/>
      </w:pPr>
      <w:r>
        <w:rPr>
          <w:rFonts w:ascii="Cambria" w:cs="Cambria" w:eastAsia="Cambria" w:hAnsi="Cambria"/>
          <w:b/>
          <w:bCs/>
          <w:color w:val="0E2A47"/>
          <w:sz w:val="22"/>
          <w:szCs w:val="22"/>
        </w:rPr>
        <w:t xml:space="preserve">Illinois — the construction and small-business corridor</w:t>
      </w:r>
    </w:p>
    <w:p>
      <w:pPr>
        <w:spacing w:after="140" w:line="300"/>
      </w:pPr>
      <w:r>
        <w:rPr>
          <w:rFonts w:ascii="Calibri" w:cs="Calibri" w:eastAsia="Calibri" w:hAnsi="Calibri"/>
          <w:sz w:val="22"/>
          <w:szCs w:val="22"/>
        </w:rPr>
        <w:t xml:space="preserve">Of 4,949 Illinois-based foreign filers, construction &amp; trades is the largest visible sector (400 entities, 8.1%) — twice the rate of California or Florida filers. Financial services (7.1%) and real estate (6.6%) follow. The Illinois pattern is dominated by small Chicago-metro businesses crossing the border for projects, contractors, and property holdings — not Fortune 500 nexus moves. This is small-business gravity: a high volume of low-value-per-filing activity.</w:t>
      </w:r>
    </w:p>
    <w:p>
      <w:pPr>
        <w:pStyle w:val="Heading3"/>
        <w:spacing w:after="80" w:before="200"/>
      </w:pPr>
      <w:r>
        <w:rPr>
          <w:rFonts w:ascii="Cambria" w:cs="Cambria" w:eastAsia="Cambria" w:hAnsi="Cambria"/>
          <w:b/>
          <w:bCs/>
          <w:color w:val="0E2A47"/>
          <w:sz w:val="22"/>
          <w:szCs w:val="22"/>
        </w:rPr>
        <w:t xml:space="preserve">California — financial services and tech</w:t>
      </w:r>
    </w:p>
    <w:p>
      <w:pPr>
        <w:spacing w:after="140" w:line="300"/>
      </w:pPr>
      <w:r>
        <w:rPr>
          <w:rFonts w:ascii="Calibri" w:cs="Calibri" w:eastAsia="Calibri" w:hAnsi="Calibri"/>
          <w:sz w:val="22"/>
          <w:szCs w:val="22"/>
        </w:rPr>
        <w:t xml:space="preserve">California sends 3,705 foreign filings. Financial services is the dominant visible sector at 11.0% (407 entities) — the highest financial-services share of any sending state. Tech &amp; software comes second at 4.6% — also the highest in the dataset. Healthcare (4.1%) follows. The California pattern is high-value: capital firms, venture LLCs, and tech-services subsidiaries establishing Midwest nexus. The volume is modest but the per-filing economic weight is likely large.</w:t>
      </w:r>
    </w:p>
    <w:p>
      <w:pPr>
        <w:pStyle w:val="Heading3"/>
        <w:spacing w:after="80" w:before="200"/>
      </w:pPr>
      <w:r>
        <w:rPr>
          <w:rFonts w:ascii="Cambria" w:cs="Cambria" w:eastAsia="Cambria" w:hAnsi="Cambria"/>
          <w:b/>
          <w:bCs/>
          <w:color w:val="0E2A47"/>
          <w:sz w:val="22"/>
          <w:szCs w:val="22"/>
        </w:rPr>
        <w:t xml:space="preserve">Texas — energy and finance</w:t>
      </w:r>
    </w:p>
    <w:p>
      <w:pPr>
        <w:spacing w:after="140" w:line="300"/>
      </w:pPr>
      <w:r>
        <w:rPr>
          <w:rFonts w:ascii="Calibri" w:cs="Calibri" w:eastAsia="Calibri" w:hAnsi="Calibri"/>
          <w:sz w:val="22"/>
          <w:szCs w:val="22"/>
        </w:rPr>
        <w:t xml:space="preserve">Texas's 3,544 foreign filings carry the highest energy &amp; utilities share of any state at 4.3% (153 entities) — roughly 8× the Indiana baseline. This is the distinctive Texas tell: oil-and-gas LLCs, energy-trading vehicles, and pipeline operators that need Midwest nexus for asset purchases and contract execution. Financial services (7.6%), healthcare (5.3%), and tech (3.7%) follow.</w:t>
      </w:r>
    </w:p>
    <w:p>
      <w:pPr>
        <w:pStyle w:val="Heading3"/>
        <w:spacing w:after="80" w:before="200"/>
      </w:pPr>
      <w:r>
        <w:rPr>
          <w:rFonts w:ascii="Cambria" w:cs="Cambria" w:eastAsia="Cambria" w:hAnsi="Cambria"/>
          <w:b/>
          <w:bCs/>
          <w:color w:val="0E2A47"/>
          <w:sz w:val="22"/>
          <w:szCs w:val="22"/>
        </w:rPr>
        <w:t xml:space="preserve">Ohio — neighbor industrial spillover</w:t>
      </w:r>
    </w:p>
    <w:p>
      <w:pPr>
        <w:spacing w:after="140" w:line="300"/>
      </w:pPr>
      <w:r>
        <w:rPr>
          <w:rFonts w:ascii="Calibri" w:cs="Calibri" w:eastAsia="Calibri" w:hAnsi="Calibri"/>
          <w:sz w:val="22"/>
          <w:szCs w:val="22"/>
        </w:rPr>
        <w:t xml:space="preserve">Ohio sends 3,351 foreign filings, the third-largest neighbor source. Construction (7.4%), tech (4.4%), and manufacturing (3.6%) lead. Ohio's mix is closer to Indiana's own industrial composition than any other state's — a "mirror state" pattern.</w:t>
      </w:r>
    </w:p>
    <w:p>
      <w:pPr>
        <w:pStyle w:val="Heading3"/>
        <w:spacing w:after="80" w:before="200"/>
      </w:pPr>
      <w:r>
        <w:rPr>
          <w:rFonts w:ascii="Cambria" w:cs="Cambria" w:eastAsia="Cambria" w:hAnsi="Cambria"/>
          <w:b/>
          <w:bCs/>
          <w:color w:val="0E2A47"/>
          <w:sz w:val="22"/>
          <w:szCs w:val="22"/>
        </w:rPr>
        <w:t xml:space="preserve">Florida — finance, healthcare, and retiree-economy adjacencies</w:t>
      </w:r>
    </w:p>
    <w:p>
      <w:pPr>
        <w:spacing w:after="140" w:line="300"/>
      </w:pPr>
      <w:r>
        <w:rPr>
          <w:rFonts w:ascii="Calibri" w:cs="Calibri" w:eastAsia="Calibri" w:hAnsi="Calibri"/>
          <w:sz w:val="22"/>
          <w:szCs w:val="22"/>
        </w:rPr>
        <w:t xml:space="preserve">Florida's 2,582 filings lean toward financial services (9.0%) and healthcare (6.0%) — the highest healthcare share of any state. Real estate (5.1%) is also notable. The Florida pattern reflects retiree-economy and snowbird-investor adjacencies, including healthcare practices and assisted-living LLCs.</w:t>
      </w:r>
    </w:p>
    <w:p>
      <w:pPr>
        <w:pStyle w:val="Heading3"/>
        <w:spacing w:after="80" w:before="200"/>
      </w:pPr>
      <w:r>
        <w:rPr>
          <w:rFonts w:ascii="Cambria" w:cs="Cambria" w:eastAsia="Cambria" w:hAnsi="Cambria"/>
          <w:b/>
          <w:bCs/>
          <w:color w:val="0E2A47"/>
          <w:sz w:val="22"/>
          <w:szCs w:val="22"/>
        </w:rPr>
        <w:t xml:space="preserve">New York — financial services, full stop</w:t>
      </w:r>
    </w:p>
    <w:p>
      <w:pPr>
        <w:spacing w:after="140" w:line="300"/>
      </w:pPr>
      <w:r>
        <w:rPr>
          <w:rFonts w:ascii="Calibri" w:cs="Calibri" w:eastAsia="Calibri" w:hAnsi="Calibri"/>
          <w:sz w:val="22"/>
          <w:szCs w:val="22"/>
        </w:rPr>
        <w:t xml:space="preserve">New York's 2,463 filings are dominated by financial services at 9.5% — the highest single-sector concentration of any sending state. Holdings &amp; investment vehicles (7.8%) and real estate (5.3%) follow. NY is overwhelmingly a finance/capital story.</w:t>
      </w:r>
    </w:p>
    <w:p>
      <w:pPr>
        <w:pStyle w:val="Heading3"/>
        <w:spacing w:after="80" w:before="200"/>
      </w:pPr>
      <w:r>
        <w:rPr>
          <w:rFonts w:ascii="Cambria" w:cs="Cambria" w:eastAsia="Cambria" w:hAnsi="Cambria"/>
          <w:b/>
          <w:bCs/>
          <w:color w:val="0E2A47"/>
          <w:sz w:val="22"/>
          <w:szCs w:val="22"/>
        </w:rPr>
        <w:t xml:space="preserve">Michigan — auto-adjacent manufacturing and trades</w:t>
      </w:r>
    </w:p>
    <w:p>
      <w:pPr>
        <w:spacing w:after="140" w:line="300"/>
      </w:pPr>
      <w:r>
        <w:rPr>
          <w:rFonts w:ascii="Calibri" w:cs="Calibri" w:eastAsia="Calibri" w:hAnsi="Calibri"/>
          <w:sz w:val="22"/>
          <w:szCs w:val="22"/>
        </w:rPr>
        <w:t xml:space="preserve">Michigan sends 2,228 filings with a manufacturing share (3.6%) — second only to Ohio among neighbors. Construction (6.3%), tech (4.3%), and real estate (6.5%) round out the top sectors. The Michigan pattern reflects Detroit-area supply chains and auto-adjacent tier-2 manufacturing.</w:t>
      </w:r>
    </w:p>
    <w:p>
      <w:pPr>
        <w:pStyle w:val="Heading3"/>
        <w:spacing w:after="80" w:before="200"/>
      </w:pPr>
      <w:r>
        <w:rPr>
          <w:rFonts w:ascii="Cambria" w:cs="Cambria" w:eastAsia="Cambria" w:hAnsi="Cambria"/>
          <w:b/>
          <w:bCs/>
          <w:color w:val="0E2A47"/>
          <w:sz w:val="22"/>
          <w:szCs w:val="22"/>
        </w:rPr>
        <w:t xml:space="preserve">Kentucky — Louisville healthcare and trades</w:t>
      </w:r>
    </w:p>
    <w:p>
      <w:pPr>
        <w:spacing w:after="140" w:line="300"/>
      </w:pPr>
      <w:r>
        <w:rPr>
          <w:rFonts w:ascii="Calibri" w:cs="Calibri" w:eastAsia="Calibri" w:hAnsi="Calibri"/>
          <w:sz w:val="22"/>
          <w:szCs w:val="22"/>
        </w:rPr>
        <w:t xml:space="preserve">Kentucky's 1,861 filings have the highest healthcare share of any sending state at 8.8% — reflecting Louisville-metro hospital systems and the Norton / Baptist Health corridor. Construction (8.8%) and real estate (10.3%) are also elevated, consistent with Ohio River metro spillover.</w:t>
      </w:r>
    </w:p>
    <w:p>
      <w:pPr>
        <w:pStyle w:val="Heading3"/>
        <w:spacing w:after="80" w:before="200"/>
      </w:pPr>
      <w:r>
        <w:rPr>
          <w:rFonts w:ascii="Cambria" w:cs="Cambria" w:eastAsia="Cambria" w:hAnsi="Cambria"/>
          <w:b/>
          <w:bCs/>
          <w:color w:val="0E2A47"/>
          <w:sz w:val="22"/>
          <w:szCs w:val="22"/>
        </w:rPr>
        <w:t xml:space="preserve">Sector mix of foreign LLCs — at-a-glance by source state</w:t>
      </w:r>
    </w:p>
    <w:tbl>
      <w:tblPr>
        <w:tblW w:type="dxa" w:w="9100"/>
        <w:tblBorders>
          <w:top w:val="single" w:color="auto" w:sz="4"/>
          <w:left w:val="single" w:color="auto" w:sz="4"/>
          <w:bottom w:val="single" w:color="auto" w:sz="4"/>
          <w:right w:val="single" w:color="auto" w:sz="4"/>
          <w:insideH w:val="single" w:color="auto" w:sz="4"/>
          <w:insideV w:val="single" w:color="auto" w:sz="4"/>
        </w:tblBorders>
      </w:tblPr>
      <w:tblGrid>
        <w:gridCol w:w="1500"/>
        <w:gridCol w:w="900"/>
        <w:gridCol w:w="1100"/>
        <w:gridCol w:w="1000"/>
        <w:gridCol w:w="1000"/>
        <w:gridCol w:w="1000"/>
        <w:gridCol w:w="800"/>
        <w:gridCol w:w="1000"/>
        <w:gridCol w:w="800"/>
      </w:tblGrid>
      <w:tr>
        <w:tc>
          <w:tcPr>
            <w:tcW w:type="dxa" w:w="1500"/>
            <w:tcBorders>
              <w:top w:val="single" w:color="D6DBE3" w:sz="4"/>
              <w:left w:val="single" w:color="D6DBE3" w:sz="4"/>
              <w:bottom w:val="single" w:color="D6DBE3" w:sz="4"/>
              <w:right w:val="single" w:color="D6DBE3" w:sz="4"/>
            </w:tcBorders>
            <w:shd w:fill="0E2A47"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Source state</w:t>
            </w:r>
          </w:p>
        </w:tc>
        <w:tc>
          <w:tcPr>
            <w:tcW w:type="dxa" w:w="900"/>
            <w:tcBorders>
              <w:top w:val="single" w:color="D6DBE3" w:sz="4"/>
              <w:left w:val="single" w:color="D6DBE3" w:sz="4"/>
              <w:bottom w:val="single" w:color="D6DBE3" w:sz="4"/>
              <w:right w:val="single" w:color="D6DBE3" w:sz="4"/>
            </w:tcBorders>
            <w:shd w:fill="0E2A47" w:val="clear"/>
            <w:tcMar>
              <w:top w:type="dxa" w:w="80"/>
              <w:left w:type="dxa" w:w="120"/>
              <w:bottom w:type="dxa" w:w="80"/>
              <w:right w:type="dxa" w:w="120"/>
            </w:tcMar>
          </w:tcPr>
          <w:p>
            <w:pPr>
              <w:jc w:val="right"/>
            </w:pPr>
            <w:r>
              <w:rPr>
                <w:rFonts w:ascii="Calibri" w:cs="Calibri" w:eastAsia="Calibri" w:hAnsi="Calibri"/>
                <w:b/>
                <w:bCs/>
                <w:color w:val="FFFFFF"/>
                <w:sz w:val="20"/>
                <w:szCs w:val="20"/>
              </w:rPr>
              <w:t xml:space="preserve">Total</w:t>
            </w:r>
          </w:p>
        </w:tc>
        <w:tc>
          <w:tcPr>
            <w:tcW w:type="dxa" w:w="1100"/>
            <w:tcBorders>
              <w:top w:val="single" w:color="D6DBE3" w:sz="4"/>
              <w:left w:val="single" w:color="D6DBE3" w:sz="4"/>
              <w:bottom w:val="single" w:color="D6DBE3" w:sz="4"/>
              <w:right w:val="single" w:color="D6DBE3" w:sz="4"/>
            </w:tcBorders>
            <w:shd w:fill="0E2A47" w:val="clear"/>
            <w:tcMar>
              <w:top w:type="dxa" w:w="80"/>
              <w:left w:type="dxa" w:w="120"/>
              <w:bottom w:type="dxa" w:w="80"/>
              <w:right w:type="dxa" w:w="120"/>
            </w:tcMar>
          </w:tcPr>
          <w:p>
            <w:pPr>
              <w:jc w:val="right"/>
            </w:pPr>
            <w:r>
              <w:rPr>
                <w:rFonts w:ascii="Calibri" w:cs="Calibri" w:eastAsia="Calibri" w:hAnsi="Calibri"/>
                <w:b/>
                <w:bCs/>
                <w:color w:val="FFFFFF"/>
                <w:sz w:val="20"/>
                <w:szCs w:val="20"/>
              </w:rPr>
              <w:t xml:space="preserve">Construction</w:t>
            </w:r>
          </w:p>
        </w:tc>
        <w:tc>
          <w:tcPr>
            <w:tcW w:type="dxa" w:w="1000"/>
            <w:tcBorders>
              <w:top w:val="single" w:color="D6DBE3" w:sz="4"/>
              <w:left w:val="single" w:color="D6DBE3" w:sz="4"/>
              <w:bottom w:val="single" w:color="D6DBE3" w:sz="4"/>
              <w:right w:val="single" w:color="D6DBE3" w:sz="4"/>
            </w:tcBorders>
            <w:shd w:fill="0E2A47" w:val="clear"/>
            <w:tcMar>
              <w:top w:type="dxa" w:w="80"/>
              <w:left w:type="dxa" w:w="120"/>
              <w:bottom w:type="dxa" w:w="80"/>
              <w:right w:type="dxa" w:w="120"/>
            </w:tcMar>
          </w:tcPr>
          <w:p>
            <w:pPr>
              <w:jc w:val="right"/>
            </w:pPr>
            <w:r>
              <w:rPr>
                <w:rFonts w:ascii="Calibri" w:cs="Calibri" w:eastAsia="Calibri" w:hAnsi="Calibri"/>
                <w:b/>
                <w:bCs/>
                <w:color w:val="FFFFFF"/>
                <w:sz w:val="20"/>
                <w:szCs w:val="20"/>
              </w:rPr>
              <w:t xml:space="preserve">Financial</w:t>
            </w:r>
          </w:p>
        </w:tc>
        <w:tc>
          <w:tcPr>
            <w:tcW w:type="dxa" w:w="1000"/>
            <w:tcBorders>
              <w:top w:val="single" w:color="D6DBE3" w:sz="4"/>
              <w:left w:val="single" w:color="D6DBE3" w:sz="4"/>
              <w:bottom w:val="single" w:color="D6DBE3" w:sz="4"/>
              <w:right w:val="single" w:color="D6DBE3" w:sz="4"/>
            </w:tcBorders>
            <w:shd w:fill="0E2A47" w:val="clear"/>
            <w:tcMar>
              <w:top w:type="dxa" w:w="80"/>
              <w:left w:type="dxa" w:w="120"/>
              <w:bottom w:type="dxa" w:w="80"/>
              <w:right w:type="dxa" w:w="120"/>
            </w:tcMar>
          </w:tcPr>
          <w:p>
            <w:pPr>
              <w:jc w:val="right"/>
            </w:pPr>
            <w:r>
              <w:rPr>
                <w:rFonts w:ascii="Calibri" w:cs="Calibri" w:eastAsia="Calibri" w:hAnsi="Calibri"/>
                <w:b/>
                <w:bCs/>
                <w:color w:val="FFFFFF"/>
                <w:sz w:val="20"/>
                <w:szCs w:val="20"/>
              </w:rPr>
              <w:t xml:space="preserve">Real estate</w:t>
            </w:r>
          </w:p>
        </w:tc>
        <w:tc>
          <w:tcPr>
            <w:tcW w:type="dxa" w:w="1000"/>
            <w:tcBorders>
              <w:top w:val="single" w:color="D6DBE3" w:sz="4"/>
              <w:left w:val="single" w:color="D6DBE3" w:sz="4"/>
              <w:bottom w:val="single" w:color="D6DBE3" w:sz="4"/>
              <w:right w:val="single" w:color="D6DBE3" w:sz="4"/>
            </w:tcBorders>
            <w:shd w:fill="0E2A47" w:val="clear"/>
            <w:tcMar>
              <w:top w:type="dxa" w:w="80"/>
              <w:left w:type="dxa" w:w="120"/>
              <w:bottom w:type="dxa" w:w="80"/>
              <w:right w:type="dxa" w:w="120"/>
            </w:tcMar>
          </w:tcPr>
          <w:p>
            <w:pPr>
              <w:jc w:val="right"/>
            </w:pPr>
            <w:r>
              <w:rPr>
                <w:rFonts w:ascii="Calibri" w:cs="Calibri" w:eastAsia="Calibri" w:hAnsi="Calibri"/>
                <w:b/>
                <w:bCs/>
                <w:color w:val="FFFFFF"/>
                <w:sz w:val="20"/>
                <w:szCs w:val="20"/>
              </w:rPr>
              <w:t xml:space="preserve">Healthcare</w:t>
            </w:r>
          </w:p>
        </w:tc>
        <w:tc>
          <w:tcPr>
            <w:tcW w:type="dxa" w:w="800"/>
            <w:tcBorders>
              <w:top w:val="single" w:color="D6DBE3" w:sz="4"/>
              <w:left w:val="single" w:color="D6DBE3" w:sz="4"/>
              <w:bottom w:val="single" w:color="D6DBE3" w:sz="4"/>
              <w:right w:val="single" w:color="D6DBE3" w:sz="4"/>
            </w:tcBorders>
            <w:shd w:fill="0E2A47" w:val="clear"/>
            <w:tcMar>
              <w:top w:type="dxa" w:w="80"/>
              <w:left w:type="dxa" w:w="120"/>
              <w:bottom w:type="dxa" w:w="80"/>
              <w:right w:type="dxa" w:w="120"/>
            </w:tcMar>
          </w:tcPr>
          <w:p>
            <w:pPr>
              <w:jc w:val="right"/>
            </w:pPr>
            <w:r>
              <w:rPr>
                <w:rFonts w:ascii="Calibri" w:cs="Calibri" w:eastAsia="Calibri" w:hAnsi="Calibri"/>
                <w:b/>
                <w:bCs/>
                <w:color w:val="FFFFFF"/>
                <w:sz w:val="20"/>
                <w:szCs w:val="20"/>
              </w:rPr>
              <w:t xml:space="preserve">Tech</w:t>
            </w:r>
          </w:p>
        </w:tc>
        <w:tc>
          <w:tcPr>
            <w:tcW w:type="dxa" w:w="1000"/>
            <w:tcBorders>
              <w:top w:val="single" w:color="D6DBE3" w:sz="4"/>
              <w:left w:val="single" w:color="D6DBE3" w:sz="4"/>
              <w:bottom w:val="single" w:color="D6DBE3" w:sz="4"/>
              <w:right w:val="single" w:color="D6DBE3" w:sz="4"/>
            </w:tcBorders>
            <w:shd w:fill="0E2A47" w:val="clear"/>
            <w:tcMar>
              <w:top w:type="dxa" w:w="80"/>
              <w:left w:type="dxa" w:w="120"/>
              <w:bottom w:type="dxa" w:w="80"/>
              <w:right w:type="dxa" w:w="120"/>
            </w:tcMar>
          </w:tcPr>
          <w:p>
            <w:pPr>
              <w:jc w:val="right"/>
            </w:pPr>
            <w:r>
              <w:rPr>
                <w:rFonts w:ascii="Calibri" w:cs="Calibri" w:eastAsia="Calibri" w:hAnsi="Calibri"/>
                <w:b/>
                <w:bCs/>
                <w:color w:val="FFFFFF"/>
                <w:sz w:val="20"/>
                <w:szCs w:val="20"/>
              </w:rPr>
              <w:t xml:space="preserve">Manufacturing</w:t>
            </w:r>
          </w:p>
        </w:tc>
        <w:tc>
          <w:tcPr>
            <w:tcW w:type="dxa" w:w="800"/>
            <w:tcBorders>
              <w:top w:val="single" w:color="D6DBE3" w:sz="4"/>
              <w:left w:val="single" w:color="D6DBE3" w:sz="4"/>
              <w:bottom w:val="single" w:color="D6DBE3" w:sz="4"/>
              <w:right w:val="single" w:color="D6DBE3" w:sz="4"/>
            </w:tcBorders>
            <w:shd w:fill="0E2A47" w:val="clear"/>
            <w:tcMar>
              <w:top w:type="dxa" w:w="80"/>
              <w:left w:type="dxa" w:w="120"/>
              <w:bottom w:type="dxa" w:w="80"/>
              <w:right w:type="dxa" w:w="120"/>
            </w:tcMar>
          </w:tcPr>
          <w:p>
            <w:pPr>
              <w:jc w:val="right"/>
            </w:pPr>
            <w:r>
              <w:rPr>
                <w:rFonts w:ascii="Calibri" w:cs="Calibri" w:eastAsia="Calibri" w:hAnsi="Calibri"/>
                <w:b/>
                <w:bCs/>
                <w:color w:val="FFFFFF"/>
                <w:sz w:val="20"/>
                <w:szCs w:val="20"/>
              </w:rPr>
              <w:t xml:space="preserve">Energy</w:t>
            </w:r>
          </w:p>
        </w:tc>
      </w:tr>
      <w:tr>
        <w:tc>
          <w:tcPr>
            <w:tcW w:type="dxa" w:w="15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left"/>
            </w:pPr>
            <w:r>
              <w:rPr>
                <w:rFonts w:ascii="Calibri" w:cs="Calibri" w:eastAsia="Calibri" w:hAnsi="Calibri"/>
                <w:color w:val="1A1A1A"/>
                <w:sz w:val="20"/>
                <w:szCs w:val="20"/>
              </w:rPr>
              <w:t xml:space="preserve">Illinois</w:t>
            </w:r>
          </w:p>
        </w:tc>
        <w:tc>
          <w:tcPr>
            <w:tcW w:type="dxa" w:w="9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4,949</w:t>
            </w:r>
          </w:p>
        </w:tc>
        <w:tc>
          <w:tcPr>
            <w:tcW w:type="dxa" w:w="11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8.1%</w:t>
            </w:r>
          </w:p>
        </w:tc>
        <w:tc>
          <w:tcPr>
            <w:tcW w:type="dxa" w:w="10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7.1%</w:t>
            </w:r>
          </w:p>
        </w:tc>
        <w:tc>
          <w:tcPr>
            <w:tcW w:type="dxa" w:w="10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6.6%</w:t>
            </w:r>
          </w:p>
        </w:tc>
        <w:tc>
          <w:tcPr>
            <w:tcW w:type="dxa" w:w="10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3.6%</w:t>
            </w:r>
          </w:p>
        </w:tc>
        <w:tc>
          <w:tcPr>
            <w:tcW w:type="dxa" w:w="8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3.2%</w:t>
            </w:r>
          </w:p>
        </w:tc>
        <w:tc>
          <w:tcPr>
            <w:tcW w:type="dxa" w:w="10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2.5%</w:t>
            </w:r>
          </w:p>
        </w:tc>
        <w:tc>
          <w:tcPr>
            <w:tcW w:type="dxa" w:w="8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0.4%</w:t>
            </w:r>
          </w:p>
        </w:tc>
      </w:tr>
      <w:tr>
        <w:tc>
          <w:tcPr>
            <w:tcW w:type="dxa" w:w="15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left"/>
            </w:pPr>
            <w:r>
              <w:rPr>
                <w:rFonts w:ascii="Calibri" w:cs="Calibri" w:eastAsia="Calibri" w:hAnsi="Calibri"/>
                <w:color w:val="1A1A1A"/>
                <w:sz w:val="20"/>
                <w:szCs w:val="20"/>
              </w:rPr>
              <w:t xml:space="preserve">California</w:t>
            </w:r>
          </w:p>
        </w:tc>
        <w:tc>
          <w:tcPr>
            <w:tcW w:type="dxa" w:w="9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3,705</w:t>
            </w:r>
          </w:p>
        </w:tc>
        <w:tc>
          <w:tcPr>
            <w:tcW w:type="dxa" w:w="11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2.6%</w:t>
            </w:r>
          </w:p>
        </w:tc>
        <w:tc>
          <w:tcPr>
            <w:tcW w:type="dxa" w:w="10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11.0%</w:t>
            </w:r>
          </w:p>
        </w:tc>
        <w:tc>
          <w:tcPr>
            <w:tcW w:type="dxa" w:w="10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5.3%</w:t>
            </w:r>
          </w:p>
        </w:tc>
        <w:tc>
          <w:tcPr>
            <w:tcW w:type="dxa" w:w="10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4.1%</w:t>
            </w:r>
          </w:p>
        </w:tc>
        <w:tc>
          <w:tcPr>
            <w:tcW w:type="dxa" w:w="8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4.6%</w:t>
            </w:r>
          </w:p>
        </w:tc>
        <w:tc>
          <w:tcPr>
            <w:tcW w:type="dxa" w:w="10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1.4%</w:t>
            </w:r>
          </w:p>
        </w:tc>
        <w:tc>
          <w:tcPr>
            <w:tcW w:type="dxa" w:w="8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1.4%</w:t>
            </w:r>
          </w:p>
        </w:tc>
      </w:tr>
      <w:tr>
        <w:tc>
          <w:tcPr>
            <w:tcW w:type="dxa" w:w="15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left"/>
            </w:pPr>
            <w:r>
              <w:rPr>
                <w:rFonts w:ascii="Calibri" w:cs="Calibri" w:eastAsia="Calibri" w:hAnsi="Calibri"/>
                <w:color w:val="1A1A1A"/>
                <w:sz w:val="20"/>
                <w:szCs w:val="20"/>
              </w:rPr>
              <w:t xml:space="preserve">Texas</w:t>
            </w:r>
          </w:p>
        </w:tc>
        <w:tc>
          <w:tcPr>
            <w:tcW w:type="dxa" w:w="9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3,544</w:t>
            </w:r>
          </w:p>
        </w:tc>
        <w:tc>
          <w:tcPr>
            <w:tcW w:type="dxa" w:w="11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3.2%</w:t>
            </w:r>
          </w:p>
        </w:tc>
        <w:tc>
          <w:tcPr>
            <w:tcW w:type="dxa" w:w="10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7.6%</w:t>
            </w:r>
          </w:p>
        </w:tc>
        <w:tc>
          <w:tcPr>
            <w:tcW w:type="dxa" w:w="10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4.7%</w:t>
            </w:r>
          </w:p>
        </w:tc>
        <w:tc>
          <w:tcPr>
            <w:tcW w:type="dxa" w:w="10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5.3%</w:t>
            </w:r>
          </w:p>
        </w:tc>
        <w:tc>
          <w:tcPr>
            <w:tcW w:type="dxa" w:w="8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3.7%</w:t>
            </w:r>
          </w:p>
        </w:tc>
        <w:tc>
          <w:tcPr>
            <w:tcW w:type="dxa" w:w="10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2.4%</w:t>
            </w:r>
          </w:p>
        </w:tc>
        <w:tc>
          <w:tcPr>
            <w:tcW w:type="dxa" w:w="8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4.3%</w:t>
            </w:r>
          </w:p>
        </w:tc>
      </w:tr>
      <w:tr>
        <w:tc>
          <w:tcPr>
            <w:tcW w:type="dxa" w:w="15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left"/>
            </w:pPr>
            <w:r>
              <w:rPr>
                <w:rFonts w:ascii="Calibri" w:cs="Calibri" w:eastAsia="Calibri" w:hAnsi="Calibri"/>
                <w:color w:val="1A1A1A"/>
                <w:sz w:val="20"/>
                <w:szCs w:val="20"/>
              </w:rPr>
              <w:t xml:space="preserve">Ohio</w:t>
            </w:r>
          </w:p>
        </w:tc>
        <w:tc>
          <w:tcPr>
            <w:tcW w:type="dxa" w:w="9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3,351</w:t>
            </w:r>
          </w:p>
        </w:tc>
        <w:tc>
          <w:tcPr>
            <w:tcW w:type="dxa" w:w="11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7.4%</w:t>
            </w:r>
          </w:p>
        </w:tc>
        <w:tc>
          <w:tcPr>
            <w:tcW w:type="dxa" w:w="10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6.0%</w:t>
            </w:r>
          </w:p>
        </w:tc>
        <w:tc>
          <w:tcPr>
            <w:tcW w:type="dxa" w:w="10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6.1%</w:t>
            </w:r>
          </w:p>
        </w:tc>
        <w:tc>
          <w:tcPr>
            <w:tcW w:type="dxa" w:w="10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4.0%</w:t>
            </w:r>
          </w:p>
        </w:tc>
        <w:tc>
          <w:tcPr>
            <w:tcW w:type="dxa" w:w="8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4.4%</w:t>
            </w:r>
          </w:p>
        </w:tc>
        <w:tc>
          <w:tcPr>
            <w:tcW w:type="dxa" w:w="10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3.6%</w:t>
            </w:r>
          </w:p>
        </w:tc>
        <w:tc>
          <w:tcPr>
            <w:tcW w:type="dxa" w:w="8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0.6%</w:t>
            </w:r>
          </w:p>
        </w:tc>
      </w:tr>
      <w:tr>
        <w:tc>
          <w:tcPr>
            <w:tcW w:type="dxa" w:w="15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left"/>
            </w:pPr>
            <w:r>
              <w:rPr>
                <w:rFonts w:ascii="Calibri" w:cs="Calibri" w:eastAsia="Calibri" w:hAnsi="Calibri"/>
                <w:color w:val="1A1A1A"/>
                <w:sz w:val="20"/>
                <w:szCs w:val="20"/>
              </w:rPr>
              <w:t xml:space="preserve">Florida</w:t>
            </w:r>
          </w:p>
        </w:tc>
        <w:tc>
          <w:tcPr>
            <w:tcW w:type="dxa" w:w="9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2,582</w:t>
            </w:r>
          </w:p>
        </w:tc>
        <w:tc>
          <w:tcPr>
            <w:tcW w:type="dxa" w:w="11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1.9%</w:t>
            </w:r>
          </w:p>
        </w:tc>
        <w:tc>
          <w:tcPr>
            <w:tcW w:type="dxa" w:w="10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9.0%</w:t>
            </w:r>
          </w:p>
        </w:tc>
        <w:tc>
          <w:tcPr>
            <w:tcW w:type="dxa" w:w="10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5.1%</w:t>
            </w:r>
          </w:p>
        </w:tc>
        <w:tc>
          <w:tcPr>
            <w:tcW w:type="dxa" w:w="10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6.0%</w:t>
            </w:r>
          </w:p>
        </w:tc>
        <w:tc>
          <w:tcPr>
            <w:tcW w:type="dxa" w:w="8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3.8%</w:t>
            </w:r>
          </w:p>
        </w:tc>
        <w:tc>
          <w:tcPr>
            <w:tcW w:type="dxa" w:w="10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0.9%</w:t>
            </w:r>
          </w:p>
        </w:tc>
        <w:tc>
          <w:tcPr>
            <w:tcW w:type="dxa" w:w="8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0.5%</w:t>
            </w:r>
          </w:p>
        </w:tc>
      </w:tr>
      <w:tr>
        <w:tc>
          <w:tcPr>
            <w:tcW w:type="dxa" w:w="15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left"/>
            </w:pPr>
            <w:r>
              <w:rPr>
                <w:rFonts w:ascii="Calibri" w:cs="Calibri" w:eastAsia="Calibri" w:hAnsi="Calibri"/>
                <w:color w:val="1A1A1A"/>
                <w:sz w:val="20"/>
                <w:szCs w:val="20"/>
              </w:rPr>
              <w:t xml:space="preserve">New York</w:t>
            </w:r>
          </w:p>
        </w:tc>
        <w:tc>
          <w:tcPr>
            <w:tcW w:type="dxa" w:w="9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2,463</w:t>
            </w:r>
          </w:p>
        </w:tc>
        <w:tc>
          <w:tcPr>
            <w:tcW w:type="dxa" w:w="11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1.0%</w:t>
            </w:r>
          </w:p>
        </w:tc>
        <w:tc>
          <w:tcPr>
            <w:tcW w:type="dxa" w:w="10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9.5%</w:t>
            </w:r>
          </w:p>
        </w:tc>
        <w:tc>
          <w:tcPr>
            <w:tcW w:type="dxa" w:w="10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5.3%</w:t>
            </w:r>
          </w:p>
        </w:tc>
        <w:tc>
          <w:tcPr>
            <w:tcW w:type="dxa" w:w="10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3.7%</w:t>
            </w:r>
          </w:p>
        </w:tc>
        <w:tc>
          <w:tcPr>
            <w:tcW w:type="dxa" w:w="8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3.8%</w:t>
            </w:r>
          </w:p>
        </w:tc>
        <w:tc>
          <w:tcPr>
            <w:tcW w:type="dxa" w:w="10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1.4%</w:t>
            </w:r>
          </w:p>
        </w:tc>
        <w:tc>
          <w:tcPr>
            <w:tcW w:type="dxa" w:w="8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0.6%</w:t>
            </w:r>
          </w:p>
        </w:tc>
      </w:tr>
      <w:tr>
        <w:tc>
          <w:tcPr>
            <w:tcW w:type="dxa" w:w="15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left"/>
            </w:pPr>
            <w:r>
              <w:rPr>
                <w:rFonts w:ascii="Calibri" w:cs="Calibri" w:eastAsia="Calibri" w:hAnsi="Calibri"/>
                <w:color w:val="1A1A1A"/>
                <w:sz w:val="20"/>
                <w:szCs w:val="20"/>
              </w:rPr>
              <w:t xml:space="preserve">Michigan</w:t>
            </w:r>
          </w:p>
        </w:tc>
        <w:tc>
          <w:tcPr>
            <w:tcW w:type="dxa" w:w="9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2,228</w:t>
            </w:r>
          </w:p>
        </w:tc>
        <w:tc>
          <w:tcPr>
            <w:tcW w:type="dxa" w:w="11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6.3%</w:t>
            </w:r>
          </w:p>
        </w:tc>
        <w:tc>
          <w:tcPr>
            <w:tcW w:type="dxa" w:w="10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6.7%</w:t>
            </w:r>
          </w:p>
        </w:tc>
        <w:tc>
          <w:tcPr>
            <w:tcW w:type="dxa" w:w="10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6.5%</w:t>
            </w:r>
          </w:p>
        </w:tc>
        <w:tc>
          <w:tcPr>
            <w:tcW w:type="dxa" w:w="10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3.1%</w:t>
            </w:r>
          </w:p>
        </w:tc>
        <w:tc>
          <w:tcPr>
            <w:tcW w:type="dxa" w:w="8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4.3%</w:t>
            </w:r>
          </w:p>
        </w:tc>
        <w:tc>
          <w:tcPr>
            <w:tcW w:type="dxa" w:w="10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3.6%</w:t>
            </w:r>
          </w:p>
        </w:tc>
        <w:tc>
          <w:tcPr>
            <w:tcW w:type="dxa" w:w="8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0.6%</w:t>
            </w:r>
          </w:p>
        </w:tc>
      </w:tr>
      <w:tr>
        <w:tc>
          <w:tcPr>
            <w:tcW w:type="dxa" w:w="15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left"/>
            </w:pPr>
            <w:r>
              <w:rPr>
                <w:rFonts w:ascii="Calibri" w:cs="Calibri" w:eastAsia="Calibri" w:hAnsi="Calibri"/>
                <w:color w:val="1A1A1A"/>
                <w:sz w:val="20"/>
                <w:szCs w:val="20"/>
              </w:rPr>
              <w:t xml:space="preserve">Kentucky</w:t>
            </w:r>
          </w:p>
        </w:tc>
        <w:tc>
          <w:tcPr>
            <w:tcW w:type="dxa" w:w="9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1,861</w:t>
            </w:r>
          </w:p>
        </w:tc>
        <w:tc>
          <w:tcPr>
            <w:tcW w:type="dxa" w:w="11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8.8%</w:t>
            </w:r>
          </w:p>
        </w:tc>
        <w:tc>
          <w:tcPr>
            <w:tcW w:type="dxa" w:w="10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5.6%</w:t>
            </w:r>
          </w:p>
        </w:tc>
        <w:tc>
          <w:tcPr>
            <w:tcW w:type="dxa" w:w="10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10.3%</w:t>
            </w:r>
          </w:p>
        </w:tc>
        <w:tc>
          <w:tcPr>
            <w:tcW w:type="dxa" w:w="10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8.8%</w:t>
            </w:r>
          </w:p>
        </w:tc>
        <w:tc>
          <w:tcPr>
            <w:tcW w:type="dxa" w:w="8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2.4%</w:t>
            </w:r>
          </w:p>
        </w:tc>
        <w:tc>
          <w:tcPr>
            <w:tcW w:type="dxa" w:w="10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2.2%</w:t>
            </w:r>
          </w:p>
        </w:tc>
        <w:tc>
          <w:tcPr>
            <w:tcW w:type="dxa" w:w="8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0.5%</w:t>
            </w:r>
          </w:p>
        </w:tc>
      </w:tr>
    </w:tbl>
    <w:p>
      <w:pPr>
        <w:spacing w:after="140" w:line="300"/>
      </w:pPr>
      <w:r>
        <w:rPr>
          <w:rFonts w:ascii="Calibri" w:cs="Calibri" w:eastAsia="Calibri" w:hAnsi="Calibri"/>
          <w:sz w:val="22"/>
          <w:szCs w:val="22"/>
        </w:rPr>
        <w:t xml:space="preserve"/>
      </w:r>
    </w:p>
    <w:p>
      <w:pPr>
        <w:spacing w:after="140" w:line="300"/>
      </w:pPr>
      <w:r>
        <w:rPr>
          <w:rFonts w:ascii="Calibri" w:cs="Calibri" w:eastAsia="Calibri" w:hAnsi="Calibri"/>
          <w:i/>
          <w:iCs/>
          <w:sz w:val="22"/>
          <w:szCs w:val="22"/>
        </w:rPr>
        <w:t xml:space="preserve">Reading: each cell is the percentage of that state's foreign filers in that sector. Bold-italic readings: Texas's energy at 4.3% is roughly 8× the Indiana baseline. New York's 9.5% financial-services share is the single most concentrated sector-state combination in the file.</w:t>
      </w:r>
    </w:p>
    <w:p>
      <w:pPr>
        <w:pStyle w:val="Heading1"/>
        <w:spacing w:after="160" w:before="360"/>
      </w:pPr>
      <w:r>
        <w:rPr>
          <w:rFonts w:ascii="Cambria" w:cs="Cambria" w:eastAsia="Cambria" w:hAnsi="Cambria"/>
          <w:b/>
          <w:bCs/>
          <w:color w:val="0E2A47"/>
          <w:sz w:val="32"/>
          <w:szCs w:val="32"/>
        </w:rPr>
        <w:t xml:space="preserve">What this means for IEDC</w:t>
      </w:r>
    </w:p>
    <w:p>
      <w:pPr>
        <w:pStyle w:val="Heading3"/>
        <w:spacing w:after="80" w:before="200"/>
      </w:pPr>
      <w:r>
        <w:rPr>
          <w:rFonts w:ascii="Cambria" w:cs="Cambria" w:eastAsia="Cambria" w:hAnsi="Cambria"/>
          <w:b/>
          <w:bCs/>
          <w:color w:val="0E2A47"/>
          <w:sz w:val="22"/>
          <w:szCs w:val="22"/>
        </w:rPr>
        <w:t xml:space="preserve">1. Indiana's knowledge economy is in Hamilton County</w:t>
      </w:r>
    </w:p>
    <w:p>
      <w:pPr>
        <w:spacing w:after="140" w:line="300"/>
      </w:pPr>
      <w:r>
        <w:rPr>
          <w:rFonts w:ascii="Calibri" w:cs="Calibri" w:eastAsia="Calibri" w:hAnsi="Calibri"/>
          <w:sz w:val="22"/>
          <w:szCs w:val="22"/>
        </w:rPr>
        <w:t xml:space="preserve">Hamilton's tech, consulting, and financial-services over-index is not an accident — it reflects a self-reinforcing professional-services cluster. IEDC marketing that targets out-of-state knowledge-economy firms (CA, NY, TX finance and tech) should lead with the Carmel-Fishers ecosystem as the proof point. The Allen County (Fort Wayne) finance cluster is a credible second story.</w:t>
      </w:r>
    </w:p>
    <w:p>
      <w:pPr>
        <w:pStyle w:val="Heading3"/>
        <w:spacing w:after="80" w:before="200"/>
      </w:pPr>
      <w:r>
        <w:rPr>
          <w:rFonts w:ascii="Cambria" w:cs="Cambria" w:eastAsia="Cambria" w:hAnsi="Cambria"/>
          <w:b/>
          <w:bCs/>
          <w:color w:val="0E2A47"/>
          <w:sz w:val="22"/>
          <w:szCs w:val="22"/>
        </w:rPr>
        <w:t xml:space="preserve">2. The state's manufacturing story lives in three counties</w:t>
      </w:r>
    </w:p>
    <w:p>
      <w:pPr>
        <w:spacing w:after="140" w:line="300"/>
      </w:pPr>
      <w:r>
        <w:rPr>
          <w:rFonts w:ascii="Calibri" w:cs="Calibri" w:eastAsia="Calibri" w:hAnsi="Calibri"/>
          <w:sz w:val="22"/>
          <w:szCs w:val="22"/>
        </w:rPr>
        <w:t xml:space="preserve">Elkhart's 2.47× manufacturing over-index, combined with Marion (10% of named manufacturers) and Allen (7.4%), makes the case that Indiana has three viable manufacturing sub-markets: RV/modular-housing (Elkhart), diversified mid-size (Indianapolis metro), and precision/defense (Fort Wayne). Marketing to Michigan and Ohio manufacturers should emphasize these as parallel options, not a single statewide pitch.</w:t>
      </w:r>
    </w:p>
    <w:p>
      <w:pPr>
        <w:pStyle w:val="Heading3"/>
        <w:spacing w:after="80" w:before="200"/>
      </w:pPr>
      <w:r>
        <w:rPr>
          <w:rFonts w:ascii="Cambria" w:cs="Cambria" w:eastAsia="Cambria" w:hAnsi="Cambria"/>
          <w:b/>
          <w:bCs/>
          <w:color w:val="0E2A47"/>
          <w:sz w:val="22"/>
          <w:szCs w:val="22"/>
        </w:rPr>
        <w:t xml:space="preserve">3. The logistics ring is its own asset class</w:t>
      </w:r>
    </w:p>
    <w:p>
      <w:pPr>
        <w:spacing w:after="140" w:line="300"/>
      </w:pPr>
      <w:r>
        <w:rPr>
          <w:rFonts w:ascii="Calibri" w:cs="Calibri" w:eastAsia="Calibri" w:hAnsi="Calibri"/>
          <w:sz w:val="22"/>
          <w:szCs w:val="22"/>
        </w:rPr>
        <w:t xml:space="preserve">Johnson, Hendricks, and Lake counties collectively over-index on trucking &amp; logistics by 2× or more. With the I-65/I-70 / I-80 / I-90 lattice and proximity to Chicago, Cincinnati, and Louisville, IEDC could make a defensible argument that the Indianapolis-and-adjacent-counties freight ring is the most freight-dense rural corridor in the lower Midwest. This is a marketing asset worth packaging.</w:t>
      </w:r>
    </w:p>
    <w:p>
      <w:pPr>
        <w:pStyle w:val="Heading3"/>
        <w:spacing w:after="80" w:before="200"/>
      </w:pPr>
      <w:r>
        <w:rPr>
          <w:rFonts w:ascii="Cambria" w:cs="Cambria" w:eastAsia="Cambria" w:hAnsi="Cambria"/>
          <w:b/>
          <w:bCs/>
          <w:color w:val="0E2A47"/>
          <w:sz w:val="22"/>
          <w:szCs w:val="22"/>
        </w:rPr>
        <w:t xml:space="preserve">4. Out-of-state attraction has six distinct customer profiles</w:t>
      </w:r>
    </w:p>
    <w:p>
      <w:pPr>
        <w:spacing w:after="140" w:line="300"/>
      </w:pPr>
      <w:r>
        <w:rPr>
          <w:rFonts w:ascii="Calibri" w:cs="Calibri" w:eastAsia="Calibri" w:hAnsi="Calibri"/>
          <w:sz w:val="22"/>
          <w:szCs w:val="22"/>
        </w:rPr>
        <w:t xml:space="preserve">IEDC should not run a single "come to Indiana" campaign — the data shows six clearly different markets: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000"/>
        <w:gridCol w:w="4560"/>
      </w:tblGrid>
      <w:tr>
        <w:tc>
          <w:tcPr>
            <w:tcW w:type="dxa" w:w="1800"/>
            <w:tcBorders>
              <w:top w:val="single" w:color="D6DBE3" w:sz="4"/>
              <w:left w:val="single" w:color="D6DBE3" w:sz="4"/>
              <w:bottom w:val="single" w:color="D6DBE3" w:sz="4"/>
              <w:right w:val="single" w:color="D6DBE3" w:sz="4"/>
            </w:tcBorders>
            <w:shd w:fill="0E2A47" w:val="clear"/>
            <w:tcMar>
              <w:top w:type="dxa" w:w="80"/>
              <w:left w:type="dxa" w:w="120"/>
              <w:bottom w:type="dxa" w:w="80"/>
              <w:right w:type="dxa" w:w="120"/>
            </w:tcMar>
          </w:tcPr>
          <w:p>
            <w:pPr>
              <w:jc w:val="left"/>
            </w:pPr>
            <w:r>
              <w:rPr>
                <w:rFonts w:ascii="Calibri" w:cs="Calibri" w:eastAsia="Calibri" w:hAnsi="Calibri"/>
                <w:b/>
                <w:bCs/>
                <w:color w:val="FFFFFF"/>
                <w:sz w:val="20"/>
                <w:szCs w:val="20"/>
              </w:rPr>
              <w:t xml:space="preserve">Source</w:t>
            </w:r>
          </w:p>
        </w:tc>
        <w:tc>
          <w:tcPr>
            <w:tcW w:type="dxa" w:w="3000"/>
            <w:tcBorders>
              <w:top w:val="single" w:color="D6DBE3" w:sz="4"/>
              <w:left w:val="single" w:color="D6DBE3" w:sz="4"/>
              <w:bottom w:val="single" w:color="D6DBE3" w:sz="4"/>
              <w:right w:val="single" w:color="D6DBE3" w:sz="4"/>
            </w:tcBorders>
            <w:shd w:fill="0E2A47" w:val="clear"/>
            <w:tcMar>
              <w:top w:type="dxa" w:w="80"/>
              <w:left w:type="dxa" w:w="120"/>
              <w:bottom w:type="dxa" w:w="80"/>
              <w:right w:type="dxa" w:w="120"/>
            </w:tcMar>
          </w:tcPr>
          <w:p>
            <w:pPr>
              <w:jc w:val="right"/>
            </w:pPr>
            <w:r>
              <w:rPr>
                <w:rFonts w:ascii="Calibri" w:cs="Calibri" w:eastAsia="Calibri" w:hAnsi="Calibri"/>
                <w:b/>
                <w:bCs/>
                <w:color w:val="FFFFFF"/>
                <w:sz w:val="20"/>
                <w:szCs w:val="20"/>
              </w:rPr>
              <w:t xml:space="preserve">What they bring</w:t>
            </w:r>
          </w:p>
        </w:tc>
        <w:tc>
          <w:tcPr>
            <w:tcW w:type="dxa" w:w="4560"/>
            <w:tcBorders>
              <w:top w:val="single" w:color="D6DBE3" w:sz="4"/>
              <w:left w:val="single" w:color="D6DBE3" w:sz="4"/>
              <w:bottom w:val="single" w:color="D6DBE3" w:sz="4"/>
              <w:right w:val="single" w:color="D6DBE3" w:sz="4"/>
            </w:tcBorders>
            <w:shd w:fill="0E2A47" w:val="clear"/>
            <w:tcMar>
              <w:top w:type="dxa" w:w="80"/>
              <w:left w:type="dxa" w:w="120"/>
              <w:bottom w:type="dxa" w:w="80"/>
              <w:right w:type="dxa" w:w="120"/>
            </w:tcMar>
          </w:tcPr>
          <w:p>
            <w:pPr>
              <w:jc w:val="right"/>
            </w:pPr>
            <w:r>
              <w:rPr>
                <w:rFonts w:ascii="Calibri" w:cs="Calibri" w:eastAsia="Calibri" w:hAnsi="Calibri"/>
                <w:b/>
                <w:bCs/>
                <w:color w:val="FFFFFF"/>
                <w:sz w:val="20"/>
                <w:szCs w:val="20"/>
              </w:rPr>
              <w:t xml:space="preserve">Suggested pitch</w:t>
            </w:r>
          </w:p>
        </w:tc>
      </w:tr>
      <w:tr>
        <w:tc>
          <w:tcPr>
            <w:tcW w:type="dxa" w:w="18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left"/>
            </w:pPr>
            <w:r>
              <w:rPr>
                <w:rFonts w:ascii="Calibri" w:cs="Calibri" w:eastAsia="Calibri" w:hAnsi="Calibri"/>
                <w:color w:val="1A1A1A"/>
                <w:sz w:val="20"/>
                <w:szCs w:val="20"/>
              </w:rPr>
              <w:t xml:space="preserve">Illinois</w:t>
            </w:r>
          </w:p>
        </w:tc>
        <w:tc>
          <w:tcPr>
            <w:tcW w:type="dxa" w:w="30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Contractors, small biz, real estate</w:t>
            </w:r>
          </w:p>
        </w:tc>
        <w:tc>
          <w:tcPr>
            <w:tcW w:type="dxa" w:w="456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Low cost of doing business, lower property tax, easier permitting</w:t>
            </w:r>
          </w:p>
        </w:tc>
      </w:tr>
      <w:tr>
        <w:tc>
          <w:tcPr>
            <w:tcW w:type="dxa" w:w="18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left"/>
            </w:pPr>
            <w:r>
              <w:rPr>
                <w:rFonts w:ascii="Calibri" w:cs="Calibri" w:eastAsia="Calibri" w:hAnsi="Calibri"/>
                <w:color w:val="1A1A1A"/>
                <w:sz w:val="20"/>
                <w:szCs w:val="20"/>
              </w:rPr>
              <w:t xml:space="preserve">California</w:t>
            </w:r>
          </w:p>
        </w:tc>
        <w:tc>
          <w:tcPr>
            <w:tcW w:type="dxa" w:w="30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Capital and tech HQs</w:t>
            </w:r>
          </w:p>
        </w:tc>
        <w:tc>
          <w:tcPr>
            <w:tcW w:type="dxa" w:w="456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Operational cost advantage, Indianapolis tech-talent pipeline, IU/Purdue CS pipeline</w:t>
            </w:r>
          </w:p>
        </w:tc>
      </w:tr>
      <w:tr>
        <w:tc>
          <w:tcPr>
            <w:tcW w:type="dxa" w:w="18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left"/>
            </w:pPr>
            <w:r>
              <w:rPr>
                <w:rFonts w:ascii="Calibri" w:cs="Calibri" w:eastAsia="Calibri" w:hAnsi="Calibri"/>
                <w:color w:val="1A1A1A"/>
                <w:sz w:val="20"/>
                <w:szCs w:val="20"/>
              </w:rPr>
              <w:t xml:space="preserve">Texas</w:t>
            </w:r>
          </w:p>
        </w:tc>
        <w:tc>
          <w:tcPr>
            <w:tcW w:type="dxa" w:w="30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Energy and finance</w:t>
            </w:r>
          </w:p>
        </w:tc>
        <w:tc>
          <w:tcPr>
            <w:tcW w:type="dxa" w:w="456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Midwest pipeline access, Ohio River industrial corridor, lower regulatory friction</w:t>
            </w:r>
          </w:p>
        </w:tc>
      </w:tr>
      <w:tr>
        <w:tc>
          <w:tcPr>
            <w:tcW w:type="dxa" w:w="18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left"/>
            </w:pPr>
            <w:r>
              <w:rPr>
                <w:rFonts w:ascii="Calibri" w:cs="Calibri" w:eastAsia="Calibri" w:hAnsi="Calibri"/>
                <w:color w:val="1A1A1A"/>
                <w:sz w:val="20"/>
                <w:szCs w:val="20"/>
              </w:rPr>
              <w:t xml:space="preserve">Ohio</w:t>
            </w:r>
          </w:p>
        </w:tc>
        <w:tc>
          <w:tcPr>
            <w:tcW w:type="dxa" w:w="30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Manufacturing and trades</w:t>
            </w:r>
          </w:p>
        </w:tc>
        <w:tc>
          <w:tcPr>
            <w:tcW w:type="dxa" w:w="456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Workforce, parallel supply chains, neighbor-state familiarity</w:t>
            </w:r>
          </w:p>
        </w:tc>
      </w:tr>
      <w:tr>
        <w:tc>
          <w:tcPr>
            <w:tcW w:type="dxa" w:w="18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left"/>
            </w:pPr>
            <w:r>
              <w:rPr>
                <w:rFonts w:ascii="Calibri" w:cs="Calibri" w:eastAsia="Calibri" w:hAnsi="Calibri"/>
                <w:color w:val="1A1A1A"/>
                <w:sz w:val="20"/>
                <w:szCs w:val="20"/>
              </w:rPr>
              <w:t xml:space="preserve">Florida</w:t>
            </w:r>
          </w:p>
        </w:tc>
        <w:tc>
          <w:tcPr>
            <w:tcW w:type="dxa" w:w="30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Healthcare and finance</w:t>
            </w:r>
          </w:p>
        </w:tc>
        <w:tc>
          <w:tcPr>
            <w:tcW w:type="dxa" w:w="456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Stable workforce, lower insurance costs, growing senior population</w:t>
            </w:r>
          </w:p>
        </w:tc>
      </w:tr>
      <w:tr>
        <w:tc>
          <w:tcPr>
            <w:tcW w:type="dxa" w:w="18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left"/>
            </w:pPr>
            <w:r>
              <w:rPr>
                <w:rFonts w:ascii="Calibri" w:cs="Calibri" w:eastAsia="Calibri" w:hAnsi="Calibri"/>
                <w:color w:val="1A1A1A"/>
                <w:sz w:val="20"/>
                <w:szCs w:val="20"/>
              </w:rPr>
              <w:t xml:space="preserve">New York</w:t>
            </w:r>
          </w:p>
        </w:tc>
        <w:tc>
          <w:tcPr>
            <w:tcW w:type="dxa" w:w="30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Finance and capital</w:t>
            </w:r>
          </w:p>
        </w:tc>
        <w:tc>
          <w:tcPr>
            <w:tcW w:type="dxa" w:w="456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Operational cost, regulatory predictability, central time zone</w:t>
            </w:r>
          </w:p>
        </w:tc>
      </w:tr>
      <w:tr>
        <w:tc>
          <w:tcPr>
            <w:tcW w:type="dxa" w:w="18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left"/>
            </w:pPr>
            <w:r>
              <w:rPr>
                <w:rFonts w:ascii="Calibri" w:cs="Calibri" w:eastAsia="Calibri" w:hAnsi="Calibri"/>
                <w:color w:val="1A1A1A"/>
                <w:sz w:val="20"/>
                <w:szCs w:val="20"/>
              </w:rPr>
              <w:t xml:space="preserve">Michigan</w:t>
            </w:r>
          </w:p>
        </w:tc>
        <w:tc>
          <w:tcPr>
            <w:tcW w:type="dxa" w:w="300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Auto-adjacent manufacturing</w:t>
            </w:r>
          </w:p>
        </w:tc>
        <w:tc>
          <w:tcPr>
            <w:tcW w:type="dxa" w:w="4560"/>
            <w:tcBorders>
              <w:top w:val="single" w:color="D6DBE3" w:sz="4"/>
              <w:left w:val="single" w:color="D6DBE3" w:sz="4"/>
              <w:bottom w:val="single" w:color="D6DBE3" w:sz="4"/>
              <w:right w:val="single" w:color="D6DBE3" w:sz="4"/>
            </w:tcBorders>
            <w:tcMar>
              <w:top w:type="dxa" w:w="80"/>
              <w:left w:type="dxa" w:w="120"/>
              <w:bottom w:type="dxa" w:w="80"/>
              <w:right w:type="dxa" w:w="120"/>
            </w:tcMar>
          </w:tcPr>
          <w:p>
            <w:pPr>
              <w:jc w:val="right"/>
            </w:pPr>
            <w:r>
              <w:rPr>
                <w:rFonts w:ascii="Calibri" w:cs="Calibri" w:eastAsia="Calibri" w:hAnsi="Calibri"/>
                <w:color w:val="1A1A1A"/>
                <w:sz w:val="20"/>
                <w:szCs w:val="20"/>
              </w:rPr>
              <w:t xml:space="preserve">EV supply chain, tier-2 partner ecosystem, Indianapolis logistics</w:t>
            </w:r>
          </w:p>
        </w:tc>
      </w:tr>
      <w:tr>
        <w:tc>
          <w:tcPr>
            <w:tcW w:type="dxa" w:w="18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left"/>
            </w:pPr>
            <w:r>
              <w:rPr>
                <w:rFonts w:ascii="Calibri" w:cs="Calibri" w:eastAsia="Calibri" w:hAnsi="Calibri"/>
                <w:color w:val="1A1A1A"/>
                <w:sz w:val="20"/>
                <w:szCs w:val="20"/>
              </w:rPr>
              <w:t xml:space="preserve">Kentucky</w:t>
            </w:r>
          </w:p>
        </w:tc>
        <w:tc>
          <w:tcPr>
            <w:tcW w:type="dxa" w:w="300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Healthcare and trades</w:t>
            </w:r>
          </w:p>
        </w:tc>
        <w:tc>
          <w:tcPr>
            <w:tcW w:type="dxa" w:w="4560"/>
            <w:tcBorders>
              <w:top w:val="single" w:color="D6DBE3" w:sz="4"/>
              <w:left w:val="single" w:color="D6DBE3" w:sz="4"/>
              <w:bottom w:val="single" w:color="D6DBE3" w:sz="4"/>
              <w:right w:val="single" w:color="D6DBE3" w:sz="4"/>
            </w:tcBorders>
            <w:shd w:fill="F2EEE5" w:val="clear"/>
            <w:tcMar>
              <w:top w:type="dxa" w:w="80"/>
              <w:left w:type="dxa" w:w="120"/>
              <w:bottom w:type="dxa" w:w="80"/>
              <w:right w:type="dxa" w:w="120"/>
            </w:tcMar>
          </w:tcPr>
          <w:p>
            <w:pPr>
              <w:jc w:val="right"/>
            </w:pPr>
            <w:r>
              <w:rPr>
                <w:rFonts w:ascii="Calibri" w:cs="Calibri" w:eastAsia="Calibri" w:hAnsi="Calibri"/>
                <w:color w:val="1A1A1A"/>
                <w:sz w:val="20"/>
                <w:szCs w:val="20"/>
              </w:rPr>
              <w:t xml:space="preserve">Louisville-metro continuity, Floyd/Clark county infrastructure</w:t>
            </w:r>
          </w:p>
        </w:tc>
      </w:tr>
    </w:tbl>
    <w:p>
      <w:pPr>
        <w:spacing w:after="140" w:line="300"/>
      </w:pPr>
      <w:r>
        <w:rPr>
          <w:rFonts w:ascii="Calibri" w:cs="Calibri" w:eastAsia="Calibri" w:hAnsi="Calibri"/>
          <w:sz w:val="22"/>
          <w:szCs w:val="22"/>
        </w:rPr>
        <w:t xml:space="preserve"/>
      </w:r>
    </w:p>
    <w:p>
      <w:pPr>
        <w:pStyle w:val="Heading3"/>
        <w:spacing w:after="80" w:before="200"/>
      </w:pPr>
      <w:r>
        <w:rPr>
          <w:rFonts w:ascii="Cambria" w:cs="Cambria" w:eastAsia="Cambria" w:hAnsi="Cambria"/>
          <w:b/>
          <w:bCs/>
          <w:color w:val="0E2A47"/>
          <w:sz w:val="22"/>
          <w:szCs w:val="22"/>
        </w:rPr>
        <w:t xml:space="preserve">5. Real estate dominance is a tell about formation patterns, not the actual economy</w:t>
      </w:r>
    </w:p>
    <w:p>
      <w:pPr>
        <w:spacing w:after="140" w:line="300"/>
      </w:pPr>
      <w:r>
        <w:rPr>
          <w:rFonts w:ascii="Calibri" w:cs="Calibri" w:eastAsia="Calibri" w:hAnsi="Calibri"/>
          <w:sz w:val="22"/>
          <w:szCs w:val="22"/>
        </w:rPr>
        <w:t xml:space="preserve">Real estate's 10.7% share of the named base is the single largest visible sector — but most "real estate" LLCs are single-property holding entities, not operating businesses. Each rental house, commercial building, or development project often gets its own LLC. The implication: when counting Indiana businesses for any economic-development purpose, applying a real-estate filter (or weighting by entity-type) materially changes the picture. The number of operating businesses with employees is meaningfully smaller than the 364K headline.</w:t>
      </w:r>
    </w:p>
    <w:p>
      <w:pPr>
        <w:pStyle w:val="Heading2"/>
        <w:spacing w:after="120" w:before="260"/>
      </w:pPr>
      <w:r>
        <w:rPr>
          <w:rFonts w:ascii="Cambria" w:cs="Cambria" w:eastAsia="Cambria" w:hAnsi="Cambria"/>
          <w:b/>
          <w:bCs/>
          <w:color w:val="0E2A47"/>
          <w:sz w:val="26"/>
          <w:szCs w:val="26"/>
        </w:rPr>
        <w:t xml:space="preserve">Caveats and limits of name-based classification</w:t>
      </w:r>
    </w:p>
    <w:p>
      <w:pPr>
        <w:spacing w:after="140" w:line="300"/>
      </w:pPr>
      <w:r>
        <w:rPr>
          <w:rFonts w:ascii="Calibri" w:cs="Calibri" w:eastAsia="Calibri" w:hAnsi="Calibri"/>
          <w:sz w:val="22"/>
          <w:szCs w:val="22"/>
        </w:rPr>
        <w:t xml:space="preserve">• 43% of business names contain no sector keyword. </w:t>
      </w:r>
      <w:r>
        <w:rPr>
          <w:rFonts w:ascii="Calibri" w:cs="Calibri" w:eastAsia="Calibri" w:hAnsi="Calibri"/>
          <w:sz w:val="22"/>
          <w:szCs w:val="22"/>
        </w:rPr>
        <w:t xml:space="preserve">These are mostly personal-name LLCs ("Johnson Holdings"), abbreviations, or proper-noun brand names. Any inference about Indiana's "real" industry distribution should treat published sector shares as a floor, not a ceiling.
</w:t>
      </w:r>
    </w:p>
    <w:p>
      <w:pPr>
        <w:spacing w:after="140" w:line="300"/>
      </w:pPr>
      <w:r>
        <w:rPr>
          <w:rFonts w:ascii="Calibri" w:cs="Calibri" w:eastAsia="Calibri" w:hAnsi="Calibri"/>
          <w:sz w:val="22"/>
          <w:szCs w:val="22"/>
        </w:rPr>
        <w:t xml:space="preserve">• Tech and manufacturing are systematically undercounted. </w:t>
      </w:r>
      <w:r>
        <w:rPr>
          <w:rFonts w:ascii="Calibri" w:cs="Calibri" w:eastAsia="Calibri" w:hAnsi="Calibri"/>
          <w:sz w:val="22"/>
          <w:szCs w:val="22"/>
        </w:rPr>
        <w:t xml:space="preserve">Modern tech companies rarely include "tech," "software," or "data" in their names. Manufacturers historically use proper-noun company names. Both sectors' real footprints are substantially larger than 1.5% and 1.3% respectively.
</w:t>
      </w:r>
    </w:p>
    <w:p>
      <w:pPr>
        <w:spacing w:after="140" w:line="300"/>
      </w:pPr>
      <w:r>
        <w:rPr>
          <w:rFonts w:ascii="Calibri" w:cs="Calibri" w:eastAsia="Calibri" w:hAnsi="Calibri"/>
          <w:sz w:val="22"/>
          <w:szCs w:val="22"/>
        </w:rPr>
        <w:t xml:space="preserve">• Classification is keyword-based and may misclassify edge cases. </w:t>
      </w:r>
      <w:r>
        <w:rPr>
          <w:rFonts w:ascii="Calibri" w:cs="Calibri" w:eastAsia="Calibri" w:hAnsi="Calibri"/>
          <w:sz w:val="22"/>
          <w:szCs w:val="22"/>
        </w:rPr>
        <w:t xml:space="preserve">"Iron Capital Partners" is classified as finance (Capital, Partners), not manufacturing (Iron). "Health Foundation" is classified as healthcare, not nonprofit. The classifier prefers the most specific match in dictionary order; reclassifying with NAICS codes (when joined to a future Census BDS file) would tighten everything.
</w:t>
      </w:r>
    </w:p>
    <w:p>
      <w:pPr>
        <w:spacing w:after="140" w:line="300"/>
      </w:pPr>
      <w:r>
        <w:rPr>
          <w:rFonts w:ascii="Calibri" w:cs="Calibri" w:eastAsia="Calibri" w:hAnsi="Calibri"/>
          <w:sz w:val="22"/>
          <w:szCs w:val="22"/>
        </w:rPr>
        <w:t xml:space="preserve">• 25% of the source scrape is missing. </w:t>
      </w:r>
      <w:r>
        <w:rPr>
          <w:rFonts w:ascii="Calibri" w:cs="Calibri" w:eastAsia="Calibri" w:hAnsi="Calibri"/>
          <w:sz w:val="22"/>
          <w:szCs w:val="22"/>
        </w:rPr>
        <w:t xml:space="preserve">Missing pages cluster in the middle of the page-number range. If the SOS orders results alphabetically or by date, the missing slice may bias one or more sectors more than others. Treat absolute counts as provisional.</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Calibri" w:cs="Calibri" w:eastAsia="Calibri" w:hAnsi="Calibri"/>
        <w:color w:val="64748B"/>
        <w:sz w:val="16"/>
        <w:szCs w:val="16"/>
      </w:rPr>
      <w:t xml:space="preserve">Indiana Business Landscape — Industry Mix Companion  ·  Page </w:t>
    </w:r>
    <w:r>
      <w:rPr>
        <w:rFonts w:ascii="Calibri" w:cs="Calibri" w:eastAsia="Calibri" w:hAnsi="Calibri"/>
        <w:color w:val="64748B"/>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Cambria" w:cs="Cambria" w:eastAsia="Cambria" w:hAnsi="Cambria"/>
      <w:b/>
      <w:bCs/>
      <w:color w:val="0E2A47"/>
      <w:sz w:val="32"/>
      <w:szCs w:val="32"/>
    </w:rPr>
  </w:style>
  <w:style w:type="paragraph" w:styleId="Heading2">
    <w:name w:val="Heading 2"/>
    <w:basedOn w:val="Normal"/>
    <w:next w:val="Normal"/>
    <w:qFormat/>
    <w:pPr>
      <w:spacing w:after="120" w:before="260"/>
      <w:outlineLvl w:val="1"/>
    </w:pPr>
    <w:rPr>
      <w:rFonts w:ascii="Cambria" w:cs="Cambria" w:eastAsia="Cambria" w:hAnsi="Cambria"/>
      <w:b/>
      <w:bCs/>
      <w:color w:val="0E2A47"/>
      <w:sz w:val="26"/>
      <w:szCs w:val="26"/>
    </w:rPr>
  </w:style>
  <w:style w:type="paragraph" w:styleId="Heading3">
    <w:name w:val="Heading 3"/>
    <w:basedOn w:val="Normal"/>
    <w:next w:val="Normal"/>
    <w:qFormat/>
    <w:pPr>
      <w:spacing w:after="80" w:before="200"/>
      <w:outlineLvl w:val="2"/>
    </w:pPr>
    <w:rPr>
      <w:rFonts w:ascii="Cambria" w:cs="Cambria" w:eastAsia="Cambria" w:hAnsi="Cambria"/>
      <w:b/>
      <w:bCs/>
      <w:color w:val="0E2A47"/>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2026-06-01T17:54:43.702Z</dcterms:created>
  <dcterms:modified xsi:type="dcterms:W3CDTF">2026-06-01T17:54:43.702Z</dcterms:modified>
</cp:coreProperties>
</file>

<file path=docProps/custom.xml><?xml version="1.0" encoding="utf-8"?>
<Properties xmlns="http://schemas.openxmlformats.org/officeDocument/2006/custom-properties" xmlns:vt="http://schemas.openxmlformats.org/officeDocument/2006/docPropsVTypes"/>
</file>